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4F" w:rsidRPr="00A33247" w:rsidRDefault="00DA104F" w:rsidP="00CE0097">
      <w:pPr>
        <w:jc w:val="right"/>
        <w:rPr>
          <w:rFonts w:ascii="Arial" w:hAnsi="Arial" w:cs="Arial"/>
          <w:b/>
          <w:sz w:val="20"/>
          <w:szCs w:val="20"/>
        </w:rPr>
      </w:pPr>
      <w:r w:rsidRPr="00A33247">
        <w:rPr>
          <w:rFonts w:ascii="Arial" w:hAnsi="Arial" w:cs="Arial"/>
          <w:b/>
          <w:sz w:val="20"/>
          <w:szCs w:val="20"/>
        </w:rPr>
        <w:t>Załącznik nr 7</w:t>
      </w:r>
    </w:p>
    <w:p w:rsidR="00DA104F" w:rsidRPr="00A33247" w:rsidRDefault="00DA104F" w:rsidP="00CE0097">
      <w:pPr>
        <w:jc w:val="right"/>
        <w:rPr>
          <w:rFonts w:ascii="Arial" w:hAnsi="Arial" w:cs="Arial"/>
          <w:b/>
          <w:sz w:val="20"/>
          <w:szCs w:val="20"/>
        </w:rPr>
      </w:pPr>
      <w:r w:rsidRPr="00A33247">
        <w:rPr>
          <w:rFonts w:ascii="Arial" w:hAnsi="Arial" w:cs="Arial"/>
          <w:b/>
          <w:sz w:val="20"/>
          <w:szCs w:val="20"/>
        </w:rPr>
        <w:t>do Zarządzenia Rektora nr 10/12</w:t>
      </w:r>
    </w:p>
    <w:p w:rsidR="00DA104F" w:rsidRPr="00A33247" w:rsidRDefault="00DA104F" w:rsidP="00CE0097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A33247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DA104F" w:rsidRPr="00A33247" w:rsidRDefault="00DA104F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A104F" w:rsidRPr="00A33247" w:rsidRDefault="00DA104F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132518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</w:t>
      </w:r>
      <w:bookmarkStart w:id="0" w:name="_GoBack"/>
      <w:bookmarkEnd w:id="0"/>
      <w:r w:rsidRPr="00132518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ARTA PRZEDMIOTU</w:t>
      </w:r>
    </w:p>
    <w:p w:rsidR="00DA104F" w:rsidRPr="00A33247" w:rsidRDefault="00DA104F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DA104F" w:rsidRPr="00A3324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DA104F" w:rsidRPr="00A3324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33247">
              <w:rPr>
                <w:rFonts w:ascii="Arial" w:hAnsi="Arial" w:cs="Arial"/>
                <w:b/>
                <w:lang w:eastAsia="pl-PL"/>
              </w:rPr>
              <w:t>Projektowanie układów komunikacyjnych</w:t>
            </w:r>
          </w:p>
        </w:tc>
      </w:tr>
      <w:tr w:rsidR="00DA104F" w:rsidRPr="00E2056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293E39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 w:rsidRPr="00A33247">
              <w:rPr>
                <w:rFonts w:ascii="Arial" w:hAnsi="Arial" w:cs="Arial"/>
                <w:b/>
                <w:lang w:val="en-US" w:eastAsia="pl-PL"/>
              </w:rPr>
              <w:t>Road and street network planning</w:t>
            </w:r>
          </w:p>
        </w:tc>
      </w:tr>
      <w:tr w:rsidR="00DA104F" w:rsidRPr="00A3324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E20561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33247">
              <w:rPr>
                <w:rFonts w:ascii="Arial" w:hAnsi="Arial" w:cs="Arial"/>
                <w:b/>
                <w:lang w:eastAsia="pl-PL"/>
              </w:rPr>
              <w:t>201</w:t>
            </w:r>
            <w:r w:rsidR="00E20561">
              <w:rPr>
                <w:rFonts w:ascii="Arial" w:hAnsi="Arial" w:cs="Arial"/>
                <w:b/>
                <w:lang w:eastAsia="pl-PL"/>
              </w:rPr>
              <w:t>7/2018</w:t>
            </w:r>
          </w:p>
        </w:tc>
      </w:tr>
    </w:tbl>
    <w:p w:rsidR="00DA104F" w:rsidRPr="00A33247" w:rsidRDefault="00DA104F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DA104F" w:rsidRPr="00A33247" w:rsidRDefault="00DA104F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DA104F" w:rsidRPr="00132518" w:rsidRDefault="00DA104F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32518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DA104F" w:rsidRPr="00A33247" w:rsidRDefault="00DA104F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DA104F" w:rsidRPr="00A332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33247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DA104F" w:rsidRPr="00A332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33247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332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DA104F" w:rsidRPr="00A332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A33247">
              <w:rPr>
                <w:rFonts w:ascii="Arial" w:hAnsi="Arial" w:cs="Arial"/>
                <w:b/>
                <w:lang w:eastAsia="pl-PL"/>
              </w:rPr>
              <w:t>gólnoakademicki</w:t>
            </w:r>
            <w:proofErr w:type="spellEnd"/>
          </w:p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332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 w:rsidRPr="00A332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 w:rsidRPr="00A332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akademicki / praktyczny)</w:t>
            </w:r>
          </w:p>
        </w:tc>
      </w:tr>
      <w:tr w:rsidR="00DA104F" w:rsidRPr="00A33247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A33247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332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DA104F" w:rsidRPr="00A332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33247"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DA104F" w:rsidRPr="00A332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33247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DA104F" w:rsidRPr="00A332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E20561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 xml:space="preserve">dr inż. </w:t>
            </w:r>
            <w:r>
              <w:rPr>
                <w:rFonts w:ascii="Arial" w:hAnsi="Arial" w:cs="Arial"/>
                <w:b/>
                <w:lang w:eastAsia="pl-PL"/>
              </w:rPr>
              <w:t>Anna Chomicz-Kowalska</w:t>
            </w:r>
          </w:p>
        </w:tc>
      </w:tr>
      <w:tr w:rsidR="00DA104F" w:rsidRPr="00A332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E20561" w:rsidRDefault="00E20561" w:rsidP="00E20561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64AAC"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DA104F" w:rsidRPr="00A33247" w:rsidRDefault="00DA104F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DA104F" w:rsidRPr="00A33247" w:rsidRDefault="00DA104F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DA104F" w:rsidRPr="00132518" w:rsidRDefault="00DA104F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132518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DA104F" w:rsidRPr="00A33247" w:rsidRDefault="00DA104F" w:rsidP="006672F4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DA104F" w:rsidRPr="00A3324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A33247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332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DA104F" w:rsidRPr="00A332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A33247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332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DA104F" w:rsidRPr="00A332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A33247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DA104F" w:rsidRPr="00A3324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4F" w:rsidRPr="00A33247" w:rsidRDefault="00DA104F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A33247">
              <w:rPr>
                <w:rFonts w:ascii="Arial" w:hAnsi="Arial" w:cs="Arial"/>
                <w:b/>
                <w:lang w:eastAsia="pl-PL"/>
              </w:rPr>
              <w:t>emestr II</w:t>
            </w:r>
          </w:p>
        </w:tc>
      </w:tr>
      <w:tr w:rsidR="00DA104F" w:rsidRPr="00A3324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4F" w:rsidRPr="00A33247" w:rsidRDefault="00DA104F" w:rsidP="00204AC7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A33247">
              <w:rPr>
                <w:rFonts w:ascii="Arial" w:hAnsi="Arial" w:cs="Arial"/>
                <w:b/>
                <w:lang w:eastAsia="pl-PL"/>
              </w:rPr>
              <w:t xml:space="preserve">emestr zimowy </w:t>
            </w:r>
          </w:p>
          <w:p w:rsidR="00DA104F" w:rsidRPr="00A33247" w:rsidRDefault="00DA104F" w:rsidP="00204AC7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332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DA104F" w:rsidRPr="00A332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332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DA104F" w:rsidRPr="00A332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4F" w:rsidRPr="00A33247" w:rsidRDefault="00DA104F" w:rsidP="00CE0097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33247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332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DA104F" w:rsidRPr="00A332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33247">
              <w:rPr>
                <w:rFonts w:ascii="Arial" w:hAnsi="Arial" w:cs="Arial"/>
                <w:b/>
                <w:lang w:eastAsia="pl-PL"/>
              </w:rPr>
              <w:t>3</w:t>
            </w:r>
          </w:p>
        </w:tc>
      </w:tr>
    </w:tbl>
    <w:p w:rsidR="00DA104F" w:rsidRPr="00A33247" w:rsidRDefault="00DA104F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DA104F" w:rsidRPr="00A33247" w:rsidRDefault="00DA104F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373"/>
        <w:gridCol w:w="1446"/>
        <w:gridCol w:w="1446"/>
        <w:gridCol w:w="1547"/>
        <w:gridCol w:w="1417"/>
      </w:tblGrid>
      <w:tr w:rsidR="00DA104F" w:rsidRPr="00A33247">
        <w:trPr>
          <w:trHeight w:val="567"/>
        </w:trPr>
        <w:tc>
          <w:tcPr>
            <w:tcW w:w="1985" w:type="dxa"/>
            <w:vAlign w:val="center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b/>
                <w:color w:val="auto"/>
                <w:sz w:val="20"/>
                <w:szCs w:val="20"/>
              </w:rPr>
              <w:t>Forma prowadzenia zajęć</w:t>
            </w:r>
          </w:p>
        </w:tc>
        <w:tc>
          <w:tcPr>
            <w:tcW w:w="1373" w:type="dxa"/>
            <w:vAlign w:val="center"/>
          </w:tcPr>
          <w:p w:rsidR="00DA104F" w:rsidRPr="00A33247" w:rsidRDefault="00DA104F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b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DA104F" w:rsidRPr="00A33247" w:rsidRDefault="00DA104F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b/>
                <w:color w:val="auto"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DA104F" w:rsidRPr="00A33247" w:rsidRDefault="00DA104F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b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547" w:type="dxa"/>
            <w:vAlign w:val="center"/>
          </w:tcPr>
          <w:p w:rsidR="00DA104F" w:rsidRPr="00A33247" w:rsidRDefault="00DA104F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417" w:type="dxa"/>
            <w:vAlign w:val="center"/>
          </w:tcPr>
          <w:p w:rsidR="00DA104F" w:rsidRPr="00A33247" w:rsidRDefault="00DA104F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b/>
                <w:color w:val="auto"/>
                <w:sz w:val="20"/>
                <w:szCs w:val="20"/>
              </w:rPr>
              <w:t>inne</w:t>
            </w:r>
          </w:p>
        </w:tc>
      </w:tr>
      <w:tr w:rsidR="00DA104F" w:rsidRPr="00A33247">
        <w:trPr>
          <w:trHeight w:val="283"/>
        </w:trPr>
        <w:tc>
          <w:tcPr>
            <w:tcW w:w="1985" w:type="dxa"/>
            <w:vAlign w:val="center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b/>
                <w:color w:val="auto"/>
                <w:sz w:val="20"/>
                <w:szCs w:val="20"/>
              </w:rPr>
              <w:t>w semestrze</w:t>
            </w:r>
          </w:p>
        </w:tc>
        <w:tc>
          <w:tcPr>
            <w:tcW w:w="1373" w:type="dxa"/>
          </w:tcPr>
          <w:p w:rsidR="00DA104F" w:rsidRPr="00A33247" w:rsidRDefault="00DA104F" w:rsidP="00293E39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A33247">
              <w:rPr>
                <w:rFonts w:ascii="Arial" w:hAnsi="Arial" w:cs="Arial"/>
                <w:b/>
                <w:color w:val="auto"/>
              </w:rPr>
              <w:t>30</w:t>
            </w:r>
          </w:p>
        </w:tc>
        <w:tc>
          <w:tcPr>
            <w:tcW w:w="1446" w:type="dxa"/>
          </w:tcPr>
          <w:p w:rsidR="00DA104F" w:rsidRPr="00A33247" w:rsidRDefault="00DA104F" w:rsidP="002D5CBD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DA104F" w:rsidRPr="00A33247" w:rsidRDefault="00DA104F" w:rsidP="002D5CBD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47" w:type="dxa"/>
          </w:tcPr>
          <w:p w:rsidR="00DA104F" w:rsidRPr="00A33247" w:rsidRDefault="00DA104F" w:rsidP="00293E39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A33247">
              <w:rPr>
                <w:rFonts w:ascii="Arial" w:hAnsi="Arial" w:cs="Arial"/>
                <w:b/>
                <w:color w:val="auto"/>
              </w:rPr>
              <w:t>15</w:t>
            </w:r>
          </w:p>
        </w:tc>
        <w:tc>
          <w:tcPr>
            <w:tcW w:w="1417" w:type="dxa"/>
          </w:tcPr>
          <w:p w:rsidR="00DA104F" w:rsidRPr="00A33247" w:rsidRDefault="00DA104F" w:rsidP="008A3660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DA104F" w:rsidRPr="00A33247" w:rsidRDefault="00DA104F" w:rsidP="006672F4">
      <w:pPr>
        <w:ind w:left="0" w:firstLine="0"/>
        <w:rPr>
          <w:rFonts w:ascii="Arial" w:hAnsi="Arial" w:cs="Arial"/>
        </w:rPr>
      </w:pPr>
    </w:p>
    <w:p w:rsidR="00DA104F" w:rsidRPr="00132518" w:rsidRDefault="00DA104F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A33247">
        <w:rPr>
          <w:rFonts w:ascii="Arial" w:hAnsi="Arial" w:cs="Arial"/>
          <w:sz w:val="22"/>
          <w:szCs w:val="22"/>
          <w:lang w:eastAsia="pl-PL"/>
        </w:rPr>
        <w:br w:type="page"/>
      </w:r>
      <w:r w:rsidRPr="00132518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DA104F" w:rsidRPr="00A33247" w:rsidRDefault="00DA104F" w:rsidP="000F4BE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3"/>
        <w:gridCol w:w="8366"/>
      </w:tblGrid>
      <w:tr w:rsidR="00DA104F" w:rsidRPr="00A33247">
        <w:trPr>
          <w:trHeight w:val="900"/>
        </w:trPr>
        <w:tc>
          <w:tcPr>
            <w:tcW w:w="863" w:type="dxa"/>
            <w:vAlign w:val="center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noWrap/>
            <w:vAlign w:val="center"/>
          </w:tcPr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Poznanie problematyki związanej z ciągłym rozwojem transportu samochodowego, problemów występujących na sieci drogowej i ulicznej oraz ich wpływem na bezpieczeństwo i sprawność ruchu.</w:t>
            </w:r>
          </w:p>
        </w:tc>
      </w:tr>
    </w:tbl>
    <w:p w:rsidR="00DA104F" w:rsidRPr="00A33247" w:rsidRDefault="00DA104F" w:rsidP="006672F4">
      <w:pPr>
        <w:tabs>
          <w:tab w:val="left" w:pos="3614"/>
        </w:tabs>
        <w:ind w:left="0" w:firstLine="0"/>
        <w:rPr>
          <w:rFonts w:ascii="Arial" w:hAnsi="Arial" w:cs="Arial"/>
          <w:sz w:val="20"/>
          <w:szCs w:val="20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4818"/>
        <w:gridCol w:w="1134"/>
        <w:gridCol w:w="1275"/>
        <w:gridCol w:w="1276"/>
      </w:tblGrid>
      <w:tr w:rsidR="00DA104F" w:rsidRPr="00A33247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332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332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332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A104F" w:rsidRPr="00A33247" w:rsidRDefault="00DA104F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332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332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332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DA104F" w:rsidRPr="00A332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5493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scharakteryzować zdarzenia w ruchu drogowym oraz ich wpływ na bezpieczeństwo ruchu drogowego i pieszego.</w:t>
            </w:r>
          </w:p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B2_W02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B2_W13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B2_W14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T2A_W02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T2A_W04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T2A_W05 T2A_W06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T2A_W07 T2A_W08 T2A_W09</w:t>
            </w:r>
          </w:p>
        </w:tc>
      </w:tr>
      <w:tr w:rsidR="00DA104F" w:rsidRPr="00A33247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5493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Zna zasady pomiarów parkowania pojazdów na parkingach, potrafi scharakteryzować zasady projektowania  parkingów wraz z wyliczeniami wartości dla nich charakterystycznych oraz ich korelacje z komunikacją zbiorową.</w:t>
            </w:r>
          </w:p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B2_W01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B2_W09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B2_W12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B2_W13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B2_W14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B2_W17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T2A_W01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T2A_W02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T2A_W04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T2A_W05</w:t>
            </w:r>
            <w:r w:rsidRPr="00A3324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T2A_W07</w:t>
            </w:r>
            <w:r w:rsidRPr="00A3324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T2A_W08 T2A_W09</w:t>
            </w:r>
          </w:p>
        </w:tc>
      </w:tr>
      <w:tr w:rsidR="00DA104F" w:rsidRPr="00A332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5493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  <w:p w:rsidR="00DA104F" w:rsidRPr="00F54935" w:rsidRDefault="00DA104F" w:rsidP="00F54935">
            <w:pPr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E20561">
            <w:p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scharakteryzować podstawowe zasady związane z kształtowaniem sieci drogowej i ulicznej </w:t>
            </w:r>
            <w:r w:rsidR="00E2056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oraz</w:t>
            </w: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określić ich powiązanie systemami transportu.</w:t>
            </w:r>
          </w:p>
          <w:p w:rsidR="00DA104F" w:rsidRPr="00A33247" w:rsidRDefault="00DA104F" w:rsidP="00E20561">
            <w:p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B2_W02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B2_W09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B2_W13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T2A_W01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T2A_W02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T2A_W04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T2A_W05 T2A_W06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T2A_W07 T2A_W08 T2A_W09</w:t>
            </w:r>
          </w:p>
        </w:tc>
      </w:tr>
      <w:tr w:rsidR="00DA104F" w:rsidRPr="00A332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5493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E20561">
            <w:p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Zna zasady związane z ruchem pieszych, miejscami lokalizacji przejść dla pieszych oraz kryteria związane z oceną ruchu pieszych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B2_W01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B2_W09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B2_W13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B2_W14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N2_W19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T2A_W01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T2A_W02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T2A_W04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T2A_W05</w:t>
            </w:r>
            <w:r w:rsidRPr="00A3324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T2A_W07 T2A_W08 T2A_W09</w:t>
            </w:r>
          </w:p>
        </w:tc>
      </w:tr>
      <w:tr w:rsidR="00DA104F" w:rsidRPr="00A332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5493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U_01</w:t>
            </w:r>
          </w:p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dokonać analizy zdarzeń drogowych na podstawi</w:t>
            </w:r>
            <w:r w:rsidR="00E2056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e Kart Zdarzenia Drogowego wraz</w:t>
            </w:r>
            <w:r w:rsidR="00E2056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br/>
            </w: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 nakreśleniem ich schematów.</w:t>
            </w:r>
          </w:p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B2_U12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04F" w:rsidRPr="00A33247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T2A_U09</w:t>
            </w:r>
          </w:p>
          <w:p w:rsidR="00DA104F" w:rsidRPr="00A33247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T2A_U12 T2A_U13 T2A_U18</w:t>
            </w:r>
          </w:p>
        </w:tc>
      </w:tr>
      <w:tr w:rsidR="00DA104F" w:rsidRPr="00A332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5493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U_02</w:t>
            </w:r>
          </w:p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przeprowadzić samodzielne pomiary parkowania oraz obliczyć jego wartości charakterystyczne.</w:t>
            </w:r>
          </w:p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B2_U13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04F" w:rsidRPr="00A33247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T2A_U02 T2A_U07 T2A_U09</w:t>
            </w:r>
          </w:p>
          <w:p w:rsidR="00DA104F" w:rsidRPr="00A33247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T2A_U10</w:t>
            </w:r>
          </w:p>
          <w:p w:rsidR="00DA104F" w:rsidRPr="00A33247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T2A_U12</w:t>
            </w:r>
          </w:p>
          <w:p w:rsidR="00DA104F" w:rsidRPr="00A33247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T2A_U18</w:t>
            </w:r>
          </w:p>
        </w:tc>
      </w:tr>
      <w:tr w:rsidR="00DA104F" w:rsidRPr="00A332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5493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U_03</w:t>
            </w:r>
          </w:p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</w:p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przeprowadzić analizę problemów komunikacyjnych oraz zinterpretować jej wyniki.</w:t>
            </w:r>
          </w:p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B2_U13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04F" w:rsidRPr="00A33247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T2A_U02 T2A_U07 T2A_U09</w:t>
            </w:r>
          </w:p>
          <w:p w:rsidR="00DA104F" w:rsidRPr="00A33247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T2A_U10</w:t>
            </w:r>
          </w:p>
          <w:p w:rsidR="00DA104F" w:rsidRPr="00A33247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lastRenderedPageBreak/>
              <w:t>T2A_U12</w:t>
            </w:r>
          </w:p>
          <w:p w:rsidR="00DA104F" w:rsidRPr="00A33247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T2A_U18</w:t>
            </w:r>
          </w:p>
        </w:tc>
      </w:tr>
      <w:tr w:rsidR="00DA104F" w:rsidRPr="00A332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5493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lastRenderedPageBreak/>
              <w:t>K_01</w:t>
            </w:r>
          </w:p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samodzielnie </w:t>
            </w:r>
            <w:r w:rsidR="00E2056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opracować wnioski</w:t>
            </w:r>
            <w:r w:rsidR="00E2056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br/>
            </w: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 przeprowadzonej analizy.</w:t>
            </w:r>
          </w:p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B2_K01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B2_K02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B2_K07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04F" w:rsidRPr="00782B2B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fr-FR" w:eastAsia="pl-PL"/>
              </w:rPr>
            </w:pPr>
            <w:r w:rsidRPr="00782B2B">
              <w:rPr>
                <w:rFonts w:ascii="Arial" w:hAnsi="Arial" w:cs="Arial"/>
                <w:color w:val="auto"/>
                <w:sz w:val="20"/>
                <w:szCs w:val="20"/>
                <w:lang w:val="fr-FR" w:eastAsia="pl-PL"/>
              </w:rPr>
              <w:t>T2A_K01 T2A_K03 T2A_K04</w:t>
            </w:r>
          </w:p>
          <w:p w:rsidR="00DA104F" w:rsidRPr="00782B2B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fr-FR" w:eastAsia="pl-PL"/>
              </w:rPr>
            </w:pPr>
            <w:r w:rsidRPr="00782B2B">
              <w:rPr>
                <w:rFonts w:ascii="Arial" w:hAnsi="Arial" w:cs="Arial"/>
                <w:color w:val="auto"/>
                <w:sz w:val="20"/>
                <w:szCs w:val="20"/>
                <w:lang w:val="fr-FR" w:eastAsia="pl-PL"/>
              </w:rPr>
              <w:t>T2A_K06</w:t>
            </w:r>
          </w:p>
          <w:p w:rsidR="00DA104F" w:rsidRPr="00A33247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T2A_K07</w:t>
            </w:r>
          </w:p>
        </w:tc>
      </w:tr>
      <w:tr w:rsidR="00DA104F" w:rsidRPr="00E2056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5493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K_02</w:t>
            </w:r>
          </w:p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B2_K02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B2_K06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04F" w:rsidRPr="00782B2B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fr-FR" w:eastAsia="pl-PL"/>
              </w:rPr>
            </w:pPr>
            <w:r w:rsidRPr="00782B2B">
              <w:rPr>
                <w:rFonts w:ascii="Arial" w:hAnsi="Arial" w:cs="Arial"/>
                <w:color w:val="auto"/>
                <w:sz w:val="20"/>
                <w:szCs w:val="20"/>
                <w:lang w:val="fr-FR" w:eastAsia="pl-PL"/>
              </w:rPr>
              <w:t>T2A_K01</w:t>
            </w:r>
          </w:p>
          <w:p w:rsidR="00DA104F" w:rsidRPr="00782B2B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fr-FR" w:eastAsia="pl-PL"/>
              </w:rPr>
            </w:pPr>
            <w:r w:rsidRPr="00782B2B">
              <w:rPr>
                <w:rFonts w:ascii="Arial" w:hAnsi="Arial" w:cs="Arial"/>
                <w:color w:val="auto"/>
                <w:sz w:val="20"/>
                <w:szCs w:val="20"/>
                <w:lang w:val="fr-FR" w:eastAsia="pl-PL"/>
              </w:rPr>
              <w:t>T2A_K03</w:t>
            </w:r>
          </w:p>
          <w:p w:rsidR="00DA104F" w:rsidRPr="00782B2B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fr-FR" w:eastAsia="pl-PL"/>
              </w:rPr>
            </w:pPr>
            <w:r w:rsidRPr="00782B2B">
              <w:rPr>
                <w:rFonts w:ascii="Arial" w:hAnsi="Arial" w:cs="Arial"/>
                <w:color w:val="auto"/>
                <w:sz w:val="20"/>
                <w:szCs w:val="20"/>
                <w:lang w:val="fr-FR" w:eastAsia="pl-PL"/>
              </w:rPr>
              <w:t>T2A_K04</w:t>
            </w:r>
          </w:p>
          <w:p w:rsidR="00DA104F" w:rsidRPr="00782B2B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fr-FR" w:eastAsia="pl-PL"/>
              </w:rPr>
            </w:pPr>
            <w:r w:rsidRPr="00782B2B">
              <w:rPr>
                <w:rFonts w:ascii="Arial" w:hAnsi="Arial" w:cs="Arial"/>
                <w:color w:val="auto"/>
                <w:sz w:val="20"/>
                <w:szCs w:val="20"/>
                <w:lang w:val="fr-FR" w:eastAsia="pl-PL"/>
              </w:rPr>
              <w:t>T2A_K05</w:t>
            </w:r>
          </w:p>
        </w:tc>
      </w:tr>
    </w:tbl>
    <w:p w:rsidR="00DA104F" w:rsidRPr="00782B2B" w:rsidRDefault="00DA104F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val="fr-FR" w:eastAsia="pl-PL"/>
        </w:rPr>
      </w:pPr>
    </w:p>
    <w:p w:rsidR="00DA104F" w:rsidRPr="00132518" w:rsidRDefault="00DA104F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132518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Treści kształcenia:</w:t>
      </w:r>
    </w:p>
    <w:p w:rsidR="00DA104F" w:rsidRPr="00A33247" w:rsidRDefault="00DA104F" w:rsidP="000F4BEF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DA104F" w:rsidRPr="00A33247" w:rsidRDefault="00DA104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A33247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091"/>
        <w:gridCol w:w="1275"/>
      </w:tblGrid>
      <w:tr w:rsidR="00DA104F" w:rsidRPr="00A33247">
        <w:tc>
          <w:tcPr>
            <w:tcW w:w="848" w:type="dxa"/>
            <w:vAlign w:val="center"/>
          </w:tcPr>
          <w:p w:rsidR="00DA104F" w:rsidRPr="00A33247" w:rsidRDefault="00DA104F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247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091" w:type="dxa"/>
            <w:vAlign w:val="center"/>
          </w:tcPr>
          <w:p w:rsidR="00DA104F" w:rsidRPr="00A33247" w:rsidRDefault="00DA104F" w:rsidP="00E20561">
            <w:pPr>
              <w:pStyle w:val="Nagwek1"/>
            </w:pPr>
            <w:r w:rsidRPr="00A33247">
              <w:t>Treści kształcenia</w:t>
            </w:r>
          </w:p>
        </w:tc>
        <w:tc>
          <w:tcPr>
            <w:tcW w:w="1275" w:type="dxa"/>
            <w:vAlign w:val="center"/>
          </w:tcPr>
          <w:p w:rsidR="00DA104F" w:rsidRPr="00A33247" w:rsidRDefault="00DA104F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247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DA104F" w:rsidRPr="00A33247"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1" w:type="dxa"/>
          </w:tcPr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 xml:space="preserve">Kształtowanie sieci drogowej i ulicznej. Struktura zamiejskiej sieci drogowej. Przestrzenny układ sieci drogowej. </w:t>
            </w:r>
          </w:p>
        </w:tc>
        <w:tc>
          <w:tcPr>
            <w:tcW w:w="1275" w:type="dxa"/>
          </w:tcPr>
          <w:p w:rsidR="00DA104F" w:rsidRPr="00115822" w:rsidRDefault="00DA104F" w:rsidP="00115822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</w:tc>
      </w:tr>
      <w:tr w:rsidR="00DA104F" w:rsidRPr="00A33247"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1" w:type="dxa"/>
          </w:tcPr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 xml:space="preserve">Cechy charakteryzujące strukturę sieci. Elementy struktury sieci. Cechy strukturalne sieci drogowej.  Zasady kształtowania sieci drogowej.  </w:t>
            </w:r>
          </w:p>
        </w:tc>
        <w:tc>
          <w:tcPr>
            <w:tcW w:w="1275" w:type="dxa"/>
          </w:tcPr>
          <w:p w:rsidR="00DA104F" w:rsidRPr="00115822" w:rsidRDefault="00DA104F" w:rsidP="00115822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</w:tc>
      </w:tr>
      <w:tr w:rsidR="00DA104F" w:rsidRPr="00A33247"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1" w:type="dxa"/>
          </w:tcPr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Organizacja ruchu w obszarach zurbanizow</w:t>
            </w:r>
            <w:r w:rsidR="00E20561">
              <w:rPr>
                <w:rFonts w:ascii="Arial" w:hAnsi="Arial" w:cs="Arial"/>
                <w:sz w:val="20"/>
                <w:szCs w:val="20"/>
              </w:rPr>
              <w:t>anych. Środki organizacji ruchu</w:t>
            </w:r>
            <w:r w:rsidR="00E20561">
              <w:rPr>
                <w:rFonts w:ascii="Arial" w:hAnsi="Arial" w:cs="Arial"/>
                <w:sz w:val="20"/>
                <w:szCs w:val="20"/>
              </w:rPr>
              <w:br/>
            </w:r>
            <w:r w:rsidRPr="00A33247">
              <w:rPr>
                <w:rFonts w:ascii="Arial" w:hAnsi="Arial" w:cs="Arial"/>
                <w:sz w:val="20"/>
                <w:szCs w:val="20"/>
              </w:rPr>
              <w:t xml:space="preserve">w obszarach zurbanizowanych. </w:t>
            </w:r>
          </w:p>
        </w:tc>
        <w:tc>
          <w:tcPr>
            <w:tcW w:w="1275" w:type="dxa"/>
          </w:tcPr>
          <w:p w:rsidR="00DA104F" w:rsidRPr="00115822" w:rsidRDefault="00DA104F" w:rsidP="00115822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</w:tc>
      </w:tr>
      <w:tr w:rsidR="00DA104F" w:rsidRPr="00A33247"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1" w:type="dxa"/>
          </w:tcPr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Systemy transportu w obszarze centrum (rodzaje ruchu, jego charakterystyka i ograniczenia dla ruchu indywidualnego, akceptowane odległości dojść dla pieszych) model transportowy.</w:t>
            </w:r>
          </w:p>
        </w:tc>
        <w:tc>
          <w:tcPr>
            <w:tcW w:w="1275" w:type="dxa"/>
          </w:tcPr>
          <w:p w:rsidR="00DA104F" w:rsidRPr="00115822" w:rsidRDefault="00DA104F" w:rsidP="00115822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</w:tc>
      </w:tr>
      <w:tr w:rsidR="00DA104F" w:rsidRPr="00A33247">
        <w:trPr>
          <w:trHeight w:val="457"/>
        </w:trPr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1" w:type="dxa"/>
          </w:tcPr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Badania  parkowania. Metody badań. Metoda notowania numerów rejestracyjnych pojazdów.</w:t>
            </w:r>
          </w:p>
        </w:tc>
        <w:tc>
          <w:tcPr>
            <w:tcW w:w="1275" w:type="dxa"/>
          </w:tcPr>
          <w:p w:rsidR="00DA104F" w:rsidRPr="00115822" w:rsidRDefault="00DA104F" w:rsidP="00115822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  <w:p w:rsidR="00DA104F" w:rsidRPr="00115822" w:rsidRDefault="00DA104F" w:rsidP="00115822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DA104F" w:rsidRPr="00A33247">
        <w:trPr>
          <w:trHeight w:val="126"/>
        </w:trPr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1" w:type="dxa"/>
          </w:tcPr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Badania i analizy parkowania. Metody badań, wskaźniki charakterystyk parkowania, wykresy akumulacji i wskaźników wykorzystania powierzchni parkingowej, wykres częstości parkowania.</w:t>
            </w:r>
          </w:p>
        </w:tc>
        <w:tc>
          <w:tcPr>
            <w:tcW w:w="1275" w:type="dxa"/>
          </w:tcPr>
          <w:p w:rsidR="00DA104F" w:rsidRPr="00115822" w:rsidRDefault="00DA104F" w:rsidP="00115822">
            <w:pPr>
              <w:ind w:left="0" w:hanging="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</w:tc>
      </w:tr>
      <w:tr w:rsidR="00DA104F" w:rsidRPr="00A33247">
        <w:trPr>
          <w:trHeight w:val="150"/>
        </w:trPr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1" w:type="dxa"/>
          </w:tcPr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Polityka parkingowa w śródmieściu. Organizacja parkowania.</w:t>
            </w:r>
          </w:p>
        </w:tc>
        <w:tc>
          <w:tcPr>
            <w:tcW w:w="1275" w:type="dxa"/>
          </w:tcPr>
          <w:p w:rsidR="00DA104F" w:rsidRPr="00115822" w:rsidRDefault="00DA104F" w:rsidP="00115822">
            <w:pPr>
              <w:ind w:left="0" w:hanging="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  <w:p w:rsidR="00DA104F" w:rsidRPr="00115822" w:rsidRDefault="00DA104F" w:rsidP="00115822">
            <w:pPr>
              <w:ind w:left="0" w:hanging="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</w:tc>
      </w:tr>
      <w:tr w:rsidR="00DA104F" w:rsidRPr="00A33247">
        <w:trPr>
          <w:trHeight w:val="150"/>
        </w:trPr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1" w:type="dxa"/>
          </w:tcPr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Komunikacja zbiorowa. Wybór środka transportu. Charakterystyka przewozowa środków komunikacji zbiorowej. Systemy komunikacji zbiorowej.</w:t>
            </w:r>
          </w:p>
        </w:tc>
        <w:tc>
          <w:tcPr>
            <w:tcW w:w="1275" w:type="dxa"/>
          </w:tcPr>
          <w:p w:rsidR="00DA104F" w:rsidRPr="00115822" w:rsidRDefault="00DA104F" w:rsidP="00115822">
            <w:pPr>
              <w:ind w:left="0" w:hanging="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</w:tc>
      </w:tr>
      <w:tr w:rsidR="00DA104F" w:rsidRPr="00A33247">
        <w:trPr>
          <w:trHeight w:val="150"/>
        </w:trPr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1" w:type="dxa"/>
          </w:tcPr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Metody i środki uprzywilejowania dla komunikacji autobusowej i/lub tramwajowej. Priorytety w ruchu dla środków komunikacji zbiorowej. Charakterystyka wybranych środków uprzywilejowania dla autobusów.</w:t>
            </w:r>
          </w:p>
        </w:tc>
        <w:tc>
          <w:tcPr>
            <w:tcW w:w="1275" w:type="dxa"/>
          </w:tcPr>
          <w:p w:rsidR="00DA104F" w:rsidRPr="00115822" w:rsidRDefault="00DA104F" w:rsidP="00115822">
            <w:pPr>
              <w:ind w:left="0" w:hanging="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</w:tc>
      </w:tr>
      <w:tr w:rsidR="00DA104F" w:rsidRPr="00A33247">
        <w:trPr>
          <w:trHeight w:val="150"/>
        </w:trPr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1" w:type="dxa"/>
          </w:tcPr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Charakterystyka ruchu pieszego. Charakterystyki urządzeń dla ruchu pieszego. Warunki ruchu pieszego. Kryteria wykorzystywane do oceny warunków ruchu pieszego.</w:t>
            </w:r>
          </w:p>
        </w:tc>
        <w:tc>
          <w:tcPr>
            <w:tcW w:w="1275" w:type="dxa"/>
          </w:tcPr>
          <w:p w:rsidR="00DA104F" w:rsidRPr="00115822" w:rsidRDefault="00DA104F" w:rsidP="00115822">
            <w:pPr>
              <w:ind w:left="0" w:hanging="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  <w:p w:rsidR="00DA104F" w:rsidRPr="00115822" w:rsidRDefault="00DA104F" w:rsidP="00115822">
            <w:pPr>
              <w:ind w:left="0" w:hanging="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</w:tc>
      </w:tr>
      <w:tr w:rsidR="00DA104F" w:rsidRPr="00A33247">
        <w:trPr>
          <w:trHeight w:val="150"/>
        </w:trPr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1" w:type="dxa"/>
          </w:tcPr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Urządzenia drogowe dla ruchu pieszego. Klasyfikacja przejść dla pieszych. Wybór typu przejścia. Wymiarowanie przejść dla pieszych.</w:t>
            </w:r>
          </w:p>
        </w:tc>
        <w:tc>
          <w:tcPr>
            <w:tcW w:w="1275" w:type="dxa"/>
          </w:tcPr>
          <w:p w:rsidR="00DA104F" w:rsidRPr="00115822" w:rsidRDefault="00DA104F" w:rsidP="00115822">
            <w:pPr>
              <w:ind w:left="0" w:hanging="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  <w:p w:rsidR="00DA104F" w:rsidRPr="00115822" w:rsidRDefault="00DA104F" w:rsidP="00115822">
            <w:pPr>
              <w:ind w:left="0" w:hanging="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W_04</w:t>
            </w:r>
          </w:p>
        </w:tc>
      </w:tr>
      <w:tr w:rsidR="00DA104F" w:rsidRPr="00A33247">
        <w:trPr>
          <w:trHeight w:val="150"/>
        </w:trPr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1" w:type="dxa"/>
          </w:tcPr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Przepustowość przejść i ciągów ruchu pieszego.</w:t>
            </w:r>
          </w:p>
        </w:tc>
        <w:tc>
          <w:tcPr>
            <w:tcW w:w="1275" w:type="dxa"/>
          </w:tcPr>
          <w:p w:rsidR="00DA104F" w:rsidRPr="00115822" w:rsidRDefault="00DA104F" w:rsidP="00115822">
            <w:pPr>
              <w:ind w:left="0" w:hanging="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  <w:p w:rsidR="00DA104F" w:rsidRPr="00115822" w:rsidRDefault="00DA104F" w:rsidP="00115822">
            <w:pPr>
              <w:ind w:left="0" w:hanging="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W_04</w:t>
            </w:r>
          </w:p>
        </w:tc>
      </w:tr>
      <w:tr w:rsidR="00DA104F" w:rsidRPr="00A33247">
        <w:trPr>
          <w:trHeight w:val="150"/>
        </w:trPr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1" w:type="dxa"/>
          </w:tcPr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Analizy bezpieczeństwa ruchu drogowego (</w:t>
            </w:r>
            <w:proofErr w:type="spellStart"/>
            <w:r w:rsidRPr="00A33247">
              <w:rPr>
                <w:rFonts w:ascii="Arial" w:hAnsi="Arial" w:cs="Arial"/>
                <w:sz w:val="20"/>
                <w:szCs w:val="20"/>
              </w:rPr>
              <w:t>brd</w:t>
            </w:r>
            <w:proofErr w:type="spellEnd"/>
            <w:r w:rsidRPr="00A33247">
              <w:rPr>
                <w:rFonts w:ascii="Arial" w:hAnsi="Arial" w:cs="Arial"/>
                <w:sz w:val="20"/>
                <w:szCs w:val="20"/>
              </w:rPr>
              <w:t>). Identyfikacja miejsc szczególnie niebezpiecznych. Rejestracja  i statystyka zdarzeń drogowych. Karta zdarzenia drogowego.</w:t>
            </w:r>
          </w:p>
        </w:tc>
        <w:tc>
          <w:tcPr>
            <w:tcW w:w="1275" w:type="dxa"/>
          </w:tcPr>
          <w:p w:rsidR="00DA104F" w:rsidRPr="00115822" w:rsidRDefault="00DA104F" w:rsidP="00115822">
            <w:pPr>
              <w:ind w:left="0" w:hanging="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</w:tc>
      </w:tr>
      <w:tr w:rsidR="00DA104F" w:rsidRPr="00A33247">
        <w:trPr>
          <w:trHeight w:val="150"/>
        </w:trPr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1" w:type="dxa"/>
          </w:tcPr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 xml:space="preserve">Wskaźniki wypadków. Analizy szczegółowe </w:t>
            </w:r>
            <w:proofErr w:type="spellStart"/>
            <w:r w:rsidRPr="00A33247">
              <w:rPr>
                <w:rFonts w:ascii="Arial" w:hAnsi="Arial" w:cs="Arial"/>
                <w:sz w:val="20"/>
                <w:szCs w:val="20"/>
              </w:rPr>
              <w:t>brd</w:t>
            </w:r>
            <w:proofErr w:type="spellEnd"/>
            <w:r w:rsidRPr="00A33247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275" w:type="dxa"/>
          </w:tcPr>
          <w:p w:rsidR="00DA104F" w:rsidRPr="00E20561" w:rsidRDefault="00DA104F" w:rsidP="00E20561">
            <w:pPr>
              <w:ind w:left="0" w:hanging="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</w:tc>
      </w:tr>
      <w:tr w:rsidR="00DA104F" w:rsidRPr="00A33247">
        <w:trPr>
          <w:trHeight w:val="150"/>
        </w:trPr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1" w:type="dxa"/>
          </w:tcPr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Metody i środki uspokojenia ruchu na obszarach zabudowanych.</w:t>
            </w:r>
          </w:p>
        </w:tc>
        <w:tc>
          <w:tcPr>
            <w:tcW w:w="1275" w:type="dxa"/>
          </w:tcPr>
          <w:p w:rsidR="00DA104F" w:rsidRPr="00115822" w:rsidRDefault="00DA104F" w:rsidP="00115822">
            <w:pPr>
              <w:ind w:left="0" w:hanging="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</w:tc>
      </w:tr>
    </w:tbl>
    <w:p w:rsidR="00DA104F" w:rsidRPr="00A33247" w:rsidRDefault="00DA104F" w:rsidP="003C2A16">
      <w:pPr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DA104F" w:rsidRPr="00A33247" w:rsidRDefault="00DA104F" w:rsidP="009D333B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A33247">
        <w:rPr>
          <w:rFonts w:ascii="Arial" w:hAnsi="Arial" w:cs="Arial"/>
          <w:color w:val="auto"/>
          <w:sz w:val="20"/>
          <w:szCs w:val="20"/>
        </w:rPr>
        <w:t>Charakterystyka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946"/>
        <w:gridCol w:w="1417"/>
      </w:tblGrid>
      <w:tr w:rsidR="00DA104F" w:rsidRPr="00A33247">
        <w:tc>
          <w:tcPr>
            <w:tcW w:w="851" w:type="dxa"/>
            <w:vAlign w:val="center"/>
          </w:tcPr>
          <w:p w:rsidR="00DA104F" w:rsidRPr="00A33247" w:rsidRDefault="00DA104F" w:rsidP="00A4018C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33247">
              <w:rPr>
                <w:rFonts w:ascii="Arial" w:hAnsi="Arial" w:cs="Arial"/>
                <w:b/>
                <w:color w:val="auto"/>
                <w:sz w:val="16"/>
                <w:szCs w:val="16"/>
              </w:rPr>
              <w:t>Nr zajęć proj.</w:t>
            </w:r>
          </w:p>
        </w:tc>
        <w:tc>
          <w:tcPr>
            <w:tcW w:w="6946" w:type="dxa"/>
            <w:vAlign w:val="center"/>
          </w:tcPr>
          <w:p w:rsidR="00DA104F" w:rsidRPr="00A33247" w:rsidRDefault="00DA104F" w:rsidP="00E31272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33247">
              <w:rPr>
                <w:rFonts w:ascii="Arial" w:hAnsi="Arial" w:cs="Arial"/>
                <w:b/>
                <w:color w:val="auto"/>
                <w:sz w:val="16"/>
                <w:szCs w:val="16"/>
              </w:rPr>
              <w:t>Treści kształcenia</w:t>
            </w:r>
          </w:p>
        </w:tc>
        <w:tc>
          <w:tcPr>
            <w:tcW w:w="1417" w:type="dxa"/>
            <w:vAlign w:val="center"/>
          </w:tcPr>
          <w:p w:rsidR="00DA104F" w:rsidRPr="00A33247" w:rsidRDefault="00DA104F" w:rsidP="00E31272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33247">
              <w:rPr>
                <w:rFonts w:ascii="Arial" w:hAnsi="Arial" w:cs="Arial"/>
                <w:b/>
                <w:color w:val="auto"/>
                <w:sz w:val="16"/>
                <w:szCs w:val="16"/>
              </w:rPr>
              <w:t>Odniesienie do efektów kształcenia dla modułu</w:t>
            </w:r>
          </w:p>
        </w:tc>
      </w:tr>
      <w:tr w:rsidR="00DA104F" w:rsidRPr="00A33247">
        <w:tc>
          <w:tcPr>
            <w:tcW w:w="851" w:type="dxa"/>
          </w:tcPr>
          <w:p w:rsidR="00DA104F" w:rsidRPr="00A33247" w:rsidRDefault="00DA104F" w:rsidP="00A12AF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</w:rPr>
              <w:t xml:space="preserve">Analizy statystyczne i mapy zdarzeń drogowych na wybranym skrzyżowaniu ulicznym oraz ocena stanu BRD. Opracowanie na podstawie zbioru danych z Kart Zdarzenia Drogowego. </w:t>
            </w:r>
          </w:p>
        </w:tc>
        <w:tc>
          <w:tcPr>
            <w:tcW w:w="1417" w:type="dxa"/>
          </w:tcPr>
          <w:p w:rsidR="00DA104F" w:rsidRPr="00A12AF0" w:rsidRDefault="00DA104F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  <w:p w:rsidR="00DA104F" w:rsidRPr="00A12AF0" w:rsidRDefault="00DA104F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  <w:p w:rsidR="00DA104F" w:rsidRPr="00A12AF0" w:rsidRDefault="00DA104F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U_01</w:t>
            </w:r>
          </w:p>
          <w:p w:rsidR="00DA104F" w:rsidRPr="00A12AF0" w:rsidRDefault="00DA104F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lastRenderedPageBreak/>
              <w:t>U_03</w:t>
            </w:r>
          </w:p>
          <w:p w:rsidR="00DA104F" w:rsidRPr="00A12AF0" w:rsidRDefault="00DA104F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  <w:p w:rsidR="00DA104F" w:rsidRPr="00A12AF0" w:rsidRDefault="00DA104F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K_02</w:t>
            </w:r>
          </w:p>
        </w:tc>
      </w:tr>
      <w:tr w:rsidR="00DA104F" w:rsidRPr="00A33247">
        <w:trPr>
          <w:trHeight w:val="183"/>
        </w:trPr>
        <w:tc>
          <w:tcPr>
            <w:tcW w:w="851" w:type="dxa"/>
          </w:tcPr>
          <w:p w:rsidR="00DA104F" w:rsidRPr="00A33247" w:rsidRDefault="00DA104F" w:rsidP="00A12AF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6946" w:type="dxa"/>
          </w:tcPr>
          <w:p w:rsidR="00DA104F" w:rsidRPr="00A33247" w:rsidRDefault="00DA104F" w:rsidP="00E20561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</w:rPr>
              <w:t>Ocena warunków parkowania na parkingu wydzielonym wykonana na podstawie pomiarów parkowania. Obliczenia wskaźników charakteryzujących parkowanie. Sporządzenie wykresów charakterystyk parkowania.</w:t>
            </w:r>
          </w:p>
        </w:tc>
        <w:tc>
          <w:tcPr>
            <w:tcW w:w="1417" w:type="dxa"/>
          </w:tcPr>
          <w:p w:rsidR="00DA104F" w:rsidRPr="00A12AF0" w:rsidRDefault="00DA104F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  <w:p w:rsidR="00DA104F" w:rsidRPr="00A12AF0" w:rsidRDefault="00DA104F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  <w:p w:rsidR="00DA104F" w:rsidRPr="00A12AF0" w:rsidRDefault="00DA104F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U_02</w:t>
            </w:r>
          </w:p>
          <w:p w:rsidR="00DA104F" w:rsidRPr="00A12AF0" w:rsidRDefault="00DA104F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U_03</w:t>
            </w:r>
          </w:p>
          <w:p w:rsidR="00DA104F" w:rsidRPr="00A12AF0" w:rsidRDefault="00DA104F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  <w:p w:rsidR="00DA104F" w:rsidRPr="00A12AF0" w:rsidRDefault="00DA104F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K_02</w:t>
            </w:r>
          </w:p>
        </w:tc>
      </w:tr>
    </w:tbl>
    <w:p w:rsidR="00DA104F" w:rsidRPr="00A33247" w:rsidRDefault="00DA104F" w:rsidP="00143490">
      <w:pPr>
        <w:rPr>
          <w:rFonts w:ascii="Arial" w:hAnsi="Arial" w:cs="Arial"/>
          <w:sz w:val="20"/>
          <w:szCs w:val="20"/>
          <w:highlight w:val="yellow"/>
        </w:rPr>
      </w:pPr>
    </w:p>
    <w:p w:rsidR="00DA104F" w:rsidRPr="00132518" w:rsidRDefault="00DA104F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132518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 xml:space="preserve">Metody sprawdzania efektów kształcenia </w:t>
      </w:r>
    </w:p>
    <w:p w:rsidR="00DA104F" w:rsidRPr="00A33247" w:rsidRDefault="00DA104F" w:rsidP="000F4BEF">
      <w:pPr>
        <w:rPr>
          <w:rFonts w:ascii="Arial" w:hAnsi="Arial" w:cs="Arial"/>
          <w:b/>
          <w:highlight w:val="yellow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8503"/>
      </w:tblGrid>
      <w:tr w:rsidR="00DA104F" w:rsidRPr="00A33247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A33247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A33247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DA104F" w:rsidRPr="00A33247" w:rsidRDefault="00DA104F" w:rsidP="006672F4">
            <w:pPr>
              <w:ind w:left="0" w:firstLine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A33247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DA104F" w:rsidRPr="00A332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12AF0" w:rsidRDefault="00DA104F" w:rsidP="00A12AF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E63513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Kolokwium</w:t>
            </w:r>
          </w:p>
        </w:tc>
      </w:tr>
      <w:tr w:rsidR="00DA104F" w:rsidRPr="00A33247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12AF0" w:rsidRDefault="00DA104F" w:rsidP="00A12AF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BE66E0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Kolokwium</w:t>
            </w:r>
          </w:p>
        </w:tc>
      </w:tr>
      <w:tr w:rsidR="00DA104F" w:rsidRPr="00A33247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12AF0" w:rsidRDefault="00DA104F" w:rsidP="00A12AF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BE66E0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Kolokwium</w:t>
            </w:r>
          </w:p>
        </w:tc>
      </w:tr>
      <w:tr w:rsidR="00DA104F" w:rsidRPr="00A33247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12AF0" w:rsidRDefault="00DA104F" w:rsidP="00A12AF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BE66E0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Kolokwium</w:t>
            </w:r>
          </w:p>
        </w:tc>
      </w:tr>
      <w:tr w:rsidR="00DA104F" w:rsidRPr="00A332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12AF0" w:rsidRDefault="00DA104F" w:rsidP="00A12AF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C148C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Projekt, obrona projektu </w:t>
            </w:r>
          </w:p>
        </w:tc>
      </w:tr>
      <w:tr w:rsidR="00DA104F" w:rsidRPr="00A332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12AF0" w:rsidRDefault="00DA104F" w:rsidP="00A12AF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DA104F" w:rsidRPr="00A332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04F" w:rsidRPr="00A12AF0" w:rsidRDefault="00DA104F" w:rsidP="00A12AF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DA104F" w:rsidRPr="00A332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12AF0" w:rsidRDefault="00DA104F" w:rsidP="00A12AF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DA104F" w:rsidRPr="00A33247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12AF0" w:rsidRDefault="00DA104F" w:rsidP="00A12AF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Projekt, obrona projektu</w:t>
            </w:r>
          </w:p>
        </w:tc>
      </w:tr>
    </w:tbl>
    <w:p w:rsidR="00DA104F" w:rsidRPr="00A33247" w:rsidRDefault="00DA104F" w:rsidP="000F4BEF">
      <w:pPr>
        <w:rPr>
          <w:rFonts w:ascii="Arial" w:hAnsi="Arial" w:cs="Arial"/>
          <w:i/>
          <w:color w:val="FF0000"/>
          <w:sz w:val="16"/>
          <w:szCs w:val="16"/>
          <w:highlight w:val="yellow"/>
        </w:rPr>
      </w:pPr>
    </w:p>
    <w:p w:rsidR="00DA104F" w:rsidRPr="00132518" w:rsidRDefault="00DA104F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132518"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  <w:t>Nakład pracy studenta</w:t>
      </w:r>
    </w:p>
    <w:p w:rsidR="00DA104F" w:rsidRPr="00A33247" w:rsidRDefault="00DA104F" w:rsidP="000F4BEF">
      <w:pPr>
        <w:pStyle w:val="Akapitzlist"/>
        <w:ind w:left="0"/>
        <w:rPr>
          <w:rFonts w:ascii="Arial" w:hAnsi="Arial" w:cs="Arial"/>
          <w:b/>
          <w:color w:val="auto"/>
          <w:highlight w:val="yellow"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7190"/>
        <w:gridCol w:w="1496"/>
      </w:tblGrid>
      <w:tr w:rsidR="00DA104F" w:rsidRPr="00041C39">
        <w:trPr>
          <w:trHeight w:val="283"/>
        </w:trPr>
        <w:tc>
          <w:tcPr>
            <w:tcW w:w="9125" w:type="dxa"/>
            <w:gridSpan w:val="3"/>
          </w:tcPr>
          <w:p w:rsidR="00DA104F" w:rsidRPr="00041C39" w:rsidRDefault="00DA104F" w:rsidP="0004102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1C39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  <w:r w:rsidRPr="00041C39"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  <w:r w:rsidRPr="000C38EC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/zaliczeniu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49</w:t>
            </w:r>
          </w:p>
          <w:p w:rsidR="00DA104F" w:rsidRPr="00041C39" w:rsidRDefault="00DA104F" w:rsidP="00041020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041C3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Przygotowanie do </w:t>
            </w:r>
            <w:r w:rsidRPr="004C3A45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egzaminu/zaliczenia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  <w:p w:rsidR="00DA104F" w:rsidRPr="00041C39" w:rsidRDefault="00DA104F" w:rsidP="0004102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41C3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74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DA104F" w:rsidRPr="00041C39" w:rsidRDefault="00DA104F" w:rsidP="00041020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041C3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DA104F" w:rsidRPr="00041C39" w:rsidRDefault="00DA104F" w:rsidP="00041020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DA104F" w:rsidRPr="001C1F98" w:rsidRDefault="00DA104F" w:rsidP="0004102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34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DA104F" w:rsidRPr="00041C39" w:rsidRDefault="00DA104F" w:rsidP="00041020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DA104F" w:rsidRPr="001C1F98" w:rsidRDefault="00DA104F" w:rsidP="0004102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1,4</w:t>
            </w:r>
          </w:p>
        </w:tc>
      </w:tr>
    </w:tbl>
    <w:p w:rsidR="00DA104F" w:rsidRPr="00A33247" w:rsidRDefault="00DA104F" w:rsidP="000F4BEF">
      <w:pPr>
        <w:pStyle w:val="Akapitzlist"/>
        <w:ind w:left="0"/>
        <w:rPr>
          <w:rFonts w:ascii="Arial" w:hAnsi="Arial" w:cs="Arial"/>
          <w:b/>
          <w:bCs/>
          <w:caps/>
          <w:color w:val="FF0000"/>
          <w:sz w:val="22"/>
          <w:szCs w:val="22"/>
          <w:highlight w:val="yellow"/>
          <w:lang w:eastAsia="pl-PL"/>
        </w:rPr>
      </w:pPr>
    </w:p>
    <w:p w:rsidR="00DA104F" w:rsidRPr="00132518" w:rsidRDefault="00DA104F" w:rsidP="008347BC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132518"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  <w:t>Literatura</w:t>
      </w:r>
    </w:p>
    <w:p w:rsidR="00DA104F" w:rsidRPr="00A33247" w:rsidRDefault="00DA104F" w:rsidP="009D333B">
      <w:pPr>
        <w:pStyle w:val="Akapitzlist"/>
        <w:ind w:left="284" w:firstLine="0"/>
        <w:rPr>
          <w:rFonts w:ascii="Arial" w:hAnsi="Arial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7371"/>
      </w:tblGrid>
      <w:tr w:rsidR="00DA104F" w:rsidRPr="00A33247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9D333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518" w:rsidRPr="009A6D38" w:rsidRDefault="00132518" w:rsidP="00132518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Gajda J.: Pomiary parametrów ruchu drogowego. Wyd. PWN, 2015 r.</w:t>
            </w:r>
          </w:p>
          <w:p w:rsidR="00E91ECF" w:rsidRDefault="00E91ECF" w:rsidP="00132518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 xml:space="preserve">Gaca S.; </w:t>
            </w:r>
            <w:proofErr w:type="spellStart"/>
            <w:r w:rsidRPr="009A6D38">
              <w:rPr>
                <w:rFonts w:ascii="Arial" w:hAnsi="Arial" w:cs="Arial"/>
                <w:sz w:val="20"/>
                <w:szCs w:val="20"/>
              </w:rPr>
              <w:t>Suchorzewski</w:t>
            </w:r>
            <w:proofErr w:type="spellEnd"/>
            <w:r w:rsidRPr="009A6D38">
              <w:rPr>
                <w:rFonts w:ascii="Arial" w:hAnsi="Arial" w:cs="Arial"/>
                <w:sz w:val="20"/>
                <w:szCs w:val="20"/>
              </w:rPr>
              <w:t xml:space="preserve"> W.; Tracz M.: Inżynieria ruchu. Teoria</w:t>
            </w:r>
            <w:r>
              <w:rPr>
                <w:rFonts w:ascii="Arial" w:hAnsi="Arial" w:cs="Arial"/>
                <w:sz w:val="20"/>
                <w:szCs w:val="20"/>
              </w:rPr>
              <w:t xml:space="preserve"> i praktyka. WKŁ, Warszawa, 2008 </w:t>
            </w:r>
            <w:r w:rsidRPr="009A6D38">
              <w:rPr>
                <w:rFonts w:ascii="Arial" w:hAnsi="Arial" w:cs="Arial"/>
                <w:sz w:val="20"/>
                <w:szCs w:val="20"/>
              </w:rPr>
              <w:t>r.</w:t>
            </w:r>
            <w:r>
              <w:rPr>
                <w:rFonts w:ascii="Arial" w:hAnsi="Arial" w:cs="Arial"/>
                <w:sz w:val="20"/>
                <w:szCs w:val="20"/>
              </w:rPr>
              <w:t xml:space="preserve"> [2011 r.].</w:t>
            </w:r>
            <w:r w:rsidRPr="004D09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1ECF" w:rsidRDefault="00E91ECF" w:rsidP="00132518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>R. Krystek i in.: Węzły drogowe i autostradowe. WKŁ, Warszawa, 2008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1ECF" w:rsidRPr="004D09F4" w:rsidRDefault="00E91ECF" w:rsidP="00132518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>Wytyczne projektowania skrzyżowań drogowych, cz. I: Skrzyżowania zwykłe i skanalizowane, GDDP, Warszawa 2001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1ECF" w:rsidRPr="004D09F4" w:rsidRDefault="00E91ECF" w:rsidP="00132518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>Wytyczne projektowania skrzyżowań drogowych, cz. II: Ronda, GDDP, Warszawa 2001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1ECF" w:rsidRPr="004D09F4" w:rsidRDefault="00E91ECF" w:rsidP="00132518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 xml:space="preserve">Rozporządzenie </w:t>
            </w:r>
            <w:proofErr w:type="spellStart"/>
            <w:r w:rsidRPr="004D09F4">
              <w:rPr>
                <w:rFonts w:ascii="Arial" w:hAnsi="Arial" w:cs="Arial"/>
                <w:sz w:val="20"/>
                <w:szCs w:val="20"/>
              </w:rPr>
              <w:t>MTiGM</w:t>
            </w:r>
            <w:proofErr w:type="spellEnd"/>
            <w:r w:rsidRPr="004D09F4">
              <w:rPr>
                <w:rFonts w:ascii="Arial" w:hAnsi="Arial" w:cs="Arial"/>
                <w:sz w:val="20"/>
                <w:szCs w:val="20"/>
              </w:rPr>
              <w:t xml:space="preserve"> z dnia 2 marca 1999 w sprawie warunków technicznych jakim powinny odpowiadać drogi publiczne oraz ich usytuowanie (Dz.U. nr 43 poz. 430)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1ECF" w:rsidRPr="004D09F4" w:rsidRDefault="00E91ECF" w:rsidP="00132518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 xml:space="preserve">Komentarz do warunków technicznych  jakim powinny odpowiadać drogi publiczne i ich usytuowanie – część I </w:t>
            </w:r>
            <w:proofErr w:type="spellStart"/>
            <w:r w:rsidRPr="004D09F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D09F4">
              <w:rPr>
                <w:rFonts w:ascii="Arial" w:hAnsi="Arial" w:cs="Arial"/>
                <w:sz w:val="20"/>
                <w:szCs w:val="20"/>
              </w:rPr>
              <w:t xml:space="preserve"> II, GDDKiA, Warszawa 2003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1ECF" w:rsidRPr="004D09F4" w:rsidRDefault="00E91ECF" w:rsidP="00132518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>Rozporządzenie Ministra Infrastruktury i Rozwoju z dnia 17 lutego 2015 r. zmieniające rozporządzenie w sprawie warunków technicznych, jakim powinny odpowiadać drogi publiczn</w:t>
            </w:r>
            <w:r>
              <w:rPr>
                <w:rFonts w:ascii="Arial" w:hAnsi="Arial" w:cs="Arial"/>
                <w:sz w:val="20"/>
                <w:szCs w:val="20"/>
              </w:rPr>
              <w:t>e i ich usytuowanie (Dz.U. 2015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D09F4">
              <w:rPr>
                <w:rFonts w:ascii="Arial" w:hAnsi="Arial" w:cs="Arial"/>
                <w:sz w:val="20"/>
                <w:szCs w:val="20"/>
              </w:rPr>
              <w:t>poz. 329).</w:t>
            </w:r>
          </w:p>
          <w:p w:rsidR="00E91ECF" w:rsidRDefault="00E91ECF" w:rsidP="00132518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2EA">
              <w:rPr>
                <w:rFonts w:ascii="Arial" w:hAnsi="Arial" w:cs="Arial"/>
                <w:sz w:val="20"/>
                <w:szCs w:val="20"/>
              </w:rPr>
              <w:t>Rozporządzenie Ministra Infrastruktury z dnia 3 lipca 2003 r. w sprawie szczegółowych warunków technicznych dla znaków i sygnałów  drogowych oraz urządzeń bezpieczeństwa ruchu drogowego i warunków ich umieszczania na drodze (Dz. U. nr 220 z 23 grudnia 2003 r. poz.2181</w:t>
            </w:r>
            <w:r>
              <w:rPr>
                <w:rFonts w:ascii="Arial" w:hAnsi="Arial" w:cs="Arial"/>
                <w:sz w:val="20"/>
                <w:szCs w:val="20"/>
              </w:rPr>
              <w:t xml:space="preserve"> z </w:t>
            </w:r>
            <w:proofErr w:type="spellStart"/>
            <w:r w:rsidRPr="00D302EA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D302EA">
              <w:rPr>
                <w:rFonts w:ascii="Arial" w:hAnsi="Arial" w:cs="Arial"/>
                <w:sz w:val="20"/>
                <w:szCs w:val="20"/>
              </w:rPr>
              <w:t>. zm.).</w:t>
            </w:r>
          </w:p>
          <w:p w:rsidR="00E91ECF" w:rsidRPr="00D302EA" w:rsidRDefault="00E91ECF" w:rsidP="00132518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2EA">
              <w:rPr>
                <w:rFonts w:ascii="Arial" w:hAnsi="Arial" w:cs="Arial"/>
                <w:sz w:val="20"/>
                <w:szCs w:val="20"/>
              </w:rPr>
              <w:t>Wytyczne szczegółowe do rozporządzenia:</w:t>
            </w:r>
            <w:r w:rsidRPr="00D302EA">
              <w:rPr>
                <w:rFonts w:ascii="Arial" w:hAnsi="Arial" w:cs="Arial"/>
                <w:vanish/>
                <w:sz w:val="20"/>
                <w:szCs w:val="20"/>
              </w:rPr>
              <w:t xml:space="preserve">  214mowania.wietlnej i jej  hu dotyczącej różnych elementów sieci drogowej</w:t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</w:p>
          <w:p w:rsidR="00E91ECF" w:rsidRPr="009A6D38" w:rsidRDefault="00E91ECF" w:rsidP="00E91ECF">
            <w:pPr>
              <w:tabs>
                <w:tab w:val="num" w:pos="762"/>
              </w:tabs>
              <w:ind w:left="478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- Załącznik nr 1 – Znaki drogowe pionowe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91ECF" w:rsidRPr="009A6D38" w:rsidRDefault="00E91ECF" w:rsidP="00E91ECF">
            <w:pPr>
              <w:tabs>
                <w:tab w:val="num" w:pos="762"/>
              </w:tabs>
              <w:ind w:left="478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- Załącznik nr 2 – Znaki drogowe poziome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91ECF" w:rsidRDefault="00E91ECF" w:rsidP="00E91ECF">
            <w:pPr>
              <w:tabs>
                <w:tab w:val="num" w:pos="762"/>
              </w:tabs>
              <w:ind w:left="478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- Załącznik nr 3 – Sygnalizacja świetlna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1ECF" w:rsidRDefault="00E91ECF" w:rsidP="00132518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Załącznik nr 4 – Urządzenia bezpieczeństwa ruchu drogowego.</w:t>
            </w:r>
          </w:p>
          <w:p w:rsidR="00E91ECF" w:rsidRDefault="00DA104F" w:rsidP="00132518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E91ECF">
              <w:rPr>
                <w:rFonts w:ascii="Arial" w:hAnsi="Arial" w:cs="Arial"/>
                <w:color w:val="auto"/>
                <w:sz w:val="20"/>
                <w:szCs w:val="20"/>
              </w:rPr>
              <w:t>Szczuraszek T. i inni: Bezpieczeństwo ruchu drogowego, Warszawa, WKŁ, 2005.</w:t>
            </w:r>
          </w:p>
          <w:p w:rsidR="00DA104F" w:rsidRPr="00E91ECF" w:rsidRDefault="00DA104F" w:rsidP="00132518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E91ECF">
              <w:rPr>
                <w:rFonts w:ascii="Arial" w:hAnsi="Arial" w:cs="Arial"/>
                <w:color w:val="auto"/>
                <w:sz w:val="20"/>
                <w:szCs w:val="20"/>
              </w:rPr>
              <w:t xml:space="preserve">GAMBIT – Program poprawy bezpieczeństwa ruchu drogowego w Polsce – materiały </w:t>
            </w:r>
            <w:r w:rsidR="00E91ECF">
              <w:rPr>
                <w:rFonts w:ascii="Arial" w:hAnsi="Arial" w:cs="Arial"/>
                <w:color w:val="auto"/>
                <w:sz w:val="20"/>
                <w:szCs w:val="20"/>
              </w:rPr>
              <w:t>z seminariów – GAMBIT.</w:t>
            </w:r>
          </w:p>
        </w:tc>
      </w:tr>
      <w:tr w:rsidR="00DA104F" w:rsidRPr="00A33247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333B68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4F" w:rsidRPr="00A33247" w:rsidRDefault="00DA104F" w:rsidP="00333B68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</w:p>
        </w:tc>
      </w:tr>
    </w:tbl>
    <w:p w:rsidR="00DA104F" w:rsidRPr="00A33247" w:rsidRDefault="00DA104F" w:rsidP="000F4BEF">
      <w:pPr>
        <w:pStyle w:val="Akapitzlist"/>
        <w:ind w:left="0"/>
        <w:rPr>
          <w:rFonts w:ascii="Arial" w:hAnsi="Arial" w:cs="Arial"/>
          <w:b/>
          <w:bCs/>
          <w:caps/>
          <w:color w:val="auto"/>
          <w:sz w:val="22"/>
          <w:szCs w:val="22"/>
          <w:lang w:eastAsia="pl-PL"/>
        </w:rPr>
      </w:pPr>
    </w:p>
    <w:p w:rsidR="00DA104F" w:rsidRPr="00A33247" w:rsidRDefault="00DA104F" w:rsidP="00CA137A">
      <w:pPr>
        <w:ind w:left="0" w:firstLine="0"/>
        <w:jc w:val="right"/>
        <w:rPr>
          <w:rFonts w:ascii="Arial" w:hAnsi="Arial" w:cs="Arial"/>
          <w:color w:val="FF0000"/>
        </w:rPr>
      </w:pPr>
    </w:p>
    <w:p w:rsidR="00DA104F" w:rsidRPr="00A33247" w:rsidRDefault="00DA104F">
      <w:pPr>
        <w:rPr>
          <w:rFonts w:ascii="Arial" w:hAnsi="Arial" w:cs="Arial"/>
          <w:color w:val="FF0000"/>
        </w:rPr>
      </w:pPr>
    </w:p>
    <w:p w:rsidR="00DA104F" w:rsidRPr="00A33247" w:rsidRDefault="00DA104F">
      <w:pPr>
        <w:rPr>
          <w:rFonts w:ascii="Arial" w:hAnsi="Arial" w:cs="Arial"/>
          <w:color w:val="FF0000"/>
        </w:rPr>
      </w:pPr>
    </w:p>
    <w:sectPr w:rsidR="00DA104F" w:rsidRPr="00A33247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655ACE"/>
    <w:multiLevelType w:val="multilevel"/>
    <w:tmpl w:val="93A4A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C64717"/>
    <w:multiLevelType w:val="hybridMultilevel"/>
    <w:tmpl w:val="2020B27E"/>
    <w:lvl w:ilvl="0" w:tplc="07D0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CD26C5"/>
    <w:multiLevelType w:val="hybridMultilevel"/>
    <w:tmpl w:val="138AD2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272AD3"/>
    <w:multiLevelType w:val="singleLevel"/>
    <w:tmpl w:val="9E34B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FF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24"/>
  </w:num>
  <w:num w:numId="5">
    <w:abstractNumId w:val="29"/>
  </w:num>
  <w:num w:numId="6">
    <w:abstractNumId w:val="6"/>
  </w:num>
  <w:num w:numId="7">
    <w:abstractNumId w:val="18"/>
  </w:num>
  <w:num w:numId="8">
    <w:abstractNumId w:val="3"/>
  </w:num>
  <w:num w:numId="9">
    <w:abstractNumId w:val="33"/>
  </w:num>
  <w:num w:numId="10">
    <w:abstractNumId w:val="25"/>
  </w:num>
  <w:num w:numId="11">
    <w:abstractNumId w:val="9"/>
  </w:num>
  <w:num w:numId="12">
    <w:abstractNumId w:val="10"/>
  </w:num>
  <w:num w:numId="13">
    <w:abstractNumId w:val="0"/>
  </w:num>
  <w:num w:numId="14">
    <w:abstractNumId w:val="27"/>
  </w:num>
  <w:num w:numId="15">
    <w:abstractNumId w:val="30"/>
  </w:num>
  <w:num w:numId="16">
    <w:abstractNumId w:val="19"/>
  </w:num>
  <w:num w:numId="17">
    <w:abstractNumId w:val="7"/>
  </w:num>
  <w:num w:numId="18">
    <w:abstractNumId w:val="4"/>
  </w:num>
  <w:num w:numId="19">
    <w:abstractNumId w:val="8"/>
  </w:num>
  <w:num w:numId="20">
    <w:abstractNumId w:val="1"/>
  </w:num>
  <w:num w:numId="21">
    <w:abstractNumId w:val="15"/>
  </w:num>
  <w:num w:numId="22">
    <w:abstractNumId w:val="26"/>
  </w:num>
  <w:num w:numId="23">
    <w:abstractNumId w:val="32"/>
  </w:num>
  <w:num w:numId="24">
    <w:abstractNumId w:val="20"/>
  </w:num>
  <w:num w:numId="25">
    <w:abstractNumId w:val="23"/>
  </w:num>
  <w:num w:numId="26">
    <w:abstractNumId w:val="28"/>
  </w:num>
  <w:num w:numId="27">
    <w:abstractNumId w:val="11"/>
  </w:num>
  <w:num w:numId="28">
    <w:abstractNumId w:val="16"/>
  </w:num>
  <w:num w:numId="29">
    <w:abstractNumId w:val="21"/>
  </w:num>
  <w:num w:numId="30">
    <w:abstractNumId w:val="14"/>
  </w:num>
  <w:num w:numId="31">
    <w:abstractNumId w:val="5"/>
  </w:num>
  <w:num w:numId="32">
    <w:abstractNumId w:val="31"/>
  </w:num>
  <w:num w:numId="33">
    <w:abstractNumId w:val="22"/>
  </w:num>
  <w:num w:numId="34">
    <w:abstractNumId w:val="35"/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2C2"/>
    <w:rsid w:val="00017629"/>
    <w:rsid w:val="00025363"/>
    <w:rsid w:val="00026424"/>
    <w:rsid w:val="000278CD"/>
    <w:rsid w:val="0003201D"/>
    <w:rsid w:val="00041020"/>
    <w:rsid w:val="00041C39"/>
    <w:rsid w:val="00051361"/>
    <w:rsid w:val="00064B80"/>
    <w:rsid w:val="00071E7B"/>
    <w:rsid w:val="00082F61"/>
    <w:rsid w:val="00083F88"/>
    <w:rsid w:val="00096974"/>
    <w:rsid w:val="000A0B7B"/>
    <w:rsid w:val="000A1318"/>
    <w:rsid w:val="000A2237"/>
    <w:rsid w:val="000B68A4"/>
    <w:rsid w:val="000C1776"/>
    <w:rsid w:val="000C38EC"/>
    <w:rsid w:val="000E67D1"/>
    <w:rsid w:val="000E7ABE"/>
    <w:rsid w:val="000F4BEF"/>
    <w:rsid w:val="000F69F7"/>
    <w:rsid w:val="001039CB"/>
    <w:rsid w:val="00104832"/>
    <w:rsid w:val="00115822"/>
    <w:rsid w:val="0011783C"/>
    <w:rsid w:val="0012165F"/>
    <w:rsid w:val="0012166B"/>
    <w:rsid w:val="00124612"/>
    <w:rsid w:val="00126FFA"/>
    <w:rsid w:val="00127D9D"/>
    <w:rsid w:val="001305AC"/>
    <w:rsid w:val="00130C97"/>
    <w:rsid w:val="00132518"/>
    <w:rsid w:val="00133B06"/>
    <w:rsid w:val="00143490"/>
    <w:rsid w:val="00147A36"/>
    <w:rsid w:val="0015054E"/>
    <w:rsid w:val="001B620C"/>
    <w:rsid w:val="001C1F98"/>
    <w:rsid w:val="001E522A"/>
    <w:rsid w:val="001F2CF6"/>
    <w:rsid w:val="001F35FD"/>
    <w:rsid w:val="00204049"/>
    <w:rsid w:val="00204AC7"/>
    <w:rsid w:val="002231C0"/>
    <w:rsid w:val="00225D33"/>
    <w:rsid w:val="00227090"/>
    <w:rsid w:val="002329AE"/>
    <w:rsid w:val="00233CDF"/>
    <w:rsid w:val="002360B7"/>
    <w:rsid w:val="002368E9"/>
    <w:rsid w:val="00240D70"/>
    <w:rsid w:val="002607B7"/>
    <w:rsid w:val="00260EE7"/>
    <w:rsid w:val="0027055E"/>
    <w:rsid w:val="00280673"/>
    <w:rsid w:val="0028533E"/>
    <w:rsid w:val="00293E39"/>
    <w:rsid w:val="00295D90"/>
    <w:rsid w:val="00296E6D"/>
    <w:rsid w:val="002979B7"/>
    <w:rsid w:val="002B31B6"/>
    <w:rsid w:val="002C0858"/>
    <w:rsid w:val="002D5CBD"/>
    <w:rsid w:val="00307EDC"/>
    <w:rsid w:val="00316425"/>
    <w:rsid w:val="003253DB"/>
    <w:rsid w:val="00333B68"/>
    <w:rsid w:val="00334CE8"/>
    <w:rsid w:val="0034200B"/>
    <w:rsid w:val="00364A8A"/>
    <w:rsid w:val="00364C42"/>
    <w:rsid w:val="00366F7F"/>
    <w:rsid w:val="0037160A"/>
    <w:rsid w:val="0038052C"/>
    <w:rsid w:val="003845D0"/>
    <w:rsid w:val="00387A4C"/>
    <w:rsid w:val="00387E31"/>
    <w:rsid w:val="003C2A16"/>
    <w:rsid w:val="003C3E41"/>
    <w:rsid w:val="003D4720"/>
    <w:rsid w:val="003D7C05"/>
    <w:rsid w:val="003F2844"/>
    <w:rsid w:val="003F28AF"/>
    <w:rsid w:val="00400967"/>
    <w:rsid w:val="00407F2B"/>
    <w:rsid w:val="00412AD5"/>
    <w:rsid w:val="004177BD"/>
    <w:rsid w:val="004258A6"/>
    <w:rsid w:val="00435A5E"/>
    <w:rsid w:val="004365A9"/>
    <w:rsid w:val="00440388"/>
    <w:rsid w:val="00441E80"/>
    <w:rsid w:val="0044338C"/>
    <w:rsid w:val="0044594C"/>
    <w:rsid w:val="00453615"/>
    <w:rsid w:val="0046440B"/>
    <w:rsid w:val="0048794B"/>
    <w:rsid w:val="004908C0"/>
    <w:rsid w:val="00493990"/>
    <w:rsid w:val="004A4489"/>
    <w:rsid w:val="004B0487"/>
    <w:rsid w:val="004B094C"/>
    <w:rsid w:val="004B599B"/>
    <w:rsid w:val="004B60C4"/>
    <w:rsid w:val="004B7F8B"/>
    <w:rsid w:val="004C3A45"/>
    <w:rsid w:val="004D0401"/>
    <w:rsid w:val="004D2776"/>
    <w:rsid w:val="004D2AB4"/>
    <w:rsid w:val="004E23E4"/>
    <w:rsid w:val="004E45C6"/>
    <w:rsid w:val="004E4D88"/>
    <w:rsid w:val="004E73D4"/>
    <w:rsid w:val="005030D0"/>
    <w:rsid w:val="00527DA5"/>
    <w:rsid w:val="0053442F"/>
    <w:rsid w:val="00535423"/>
    <w:rsid w:val="00537F47"/>
    <w:rsid w:val="005567C6"/>
    <w:rsid w:val="0056516F"/>
    <w:rsid w:val="00570636"/>
    <w:rsid w:val="00582165"/>
    <w:rsid w:val="005864BE"/>
    <w:rsid w:val="00591A40"/>
    <w:rsid w:val="005A6FC7"/>
    <w:rsid w:val="005B059B"/>
    <w:rsid w:val="005E0022"/>
    <w:rsid w:val="006026BE"/>
    <w:rsid w:val="0060706C"/>
    <w:rsid w:val="006075A0"/>
    <w:rsid w:val="00614CB3"/>
    <w:rsid w:val="00623367"/>
    <w:rsid w:val="00625809"/>
    <w:rsid w:val="00644D45"/>
    <w:rsid w:val="006457D9"/>
    <w:rsid w:val="00657563"/>
    <w:rsid w:val="00657825"/>
    <w:rsid w:val="00664ECE"/>
    <w:rsid w:val="006672F4"/>
    <w:rsid w:val="00685ACE"/>
    <w:rsid w:val="00692EA5"/>
    <w:rsid w:val="006B2917"/>
    <w:rsid w:val="006C089A"/>
    <w:rsid w:val="006D4A8E"/>
    <w:rsid w:val="006E40EC"/>
    <w:rsid w:val="006E60B1"/>
    <w:rsid w:val="006F166A"/>
    <w:rsid w:val="006F2E0F"/>
    <w:rsid w:val="006F481E"/>
    <w:rsid w:val="006F753D"/>
    <w:rsid w:val="006F764C"/>
    <w:rsid w:val="0070359A"/>
    <w:rsid w:val="00707554"/>
    <w:rsid w:val="00712FC4"/>
    <w:rsid w:val="00714FB1"/>
    <w:rsid w:val="007220E3"/>
    <w:rsid w:val="00750DE4"/>
    <w:rsid w:val="007550F8"/>
    <w:rsid w:val="0076132A"/>
    <w:rsid w:val="00761AF7"/>
    <w:rsid w:val="00767DF3"/>
    <w:rsid w:val="00777846"/>
    <w:rsid w:val="0078066E"/>
    <w:rsid w:val="007822D6"/>
    <w:rsid w:val="00782B1A"/>
    <w:rsid w:val="00782B2B"/>
    <w:rsid w:val="0079373C"/>
    <w:rsid w:val="007A48A8"/>
    <w:rsid w:val="007A4B03"/>
    <w:rsid w:val="007C10C6"/>
    <w:rsid w:val="007C12EB"/>
    <w:rsid w:val="007C6008"/>
    <w:rsid w:val="00823063"/>
    <w:rsid w:val="0082529E"/>
    <w:rsid w:val="00833FD5"/>
    <w:rsid w:val="008347BC"/>
    <w:rsid w:val="00843C02"/>
    <w:rsid w:val="00845723"/>
    <w:rsid w:val="00850390"/>
    <w:rsid w:val="0085110F"/>
    <w:rsid w:val="00851AB4"/>
    <w:rsid w:val="0087773F"/>
    <w:rsid w:val="00886E57"/>
    <w:rsid w:val="00895D8F"/>
    <w:rsid w:val="008A11C3"/>
    <w:rsid w:val="008A1A5F"/>
    <w:rsid w:val="008A3660"/>
    <w:rsid w:val="008A7CB2"/>
    <w:rsid w:val="008B1233"/>
    <w:rsid w:val="008B286C"/>
    <w:rsid w:val="008B6901"/>
    <w:rsid w:val="008D6802"/>
    <w:rsid w:val="008E3433"/>
    <w:rsid w:val="008F2114"/>
    <w:rsid w:val="008F7C0A"/>
    <w:rsid w:val="009226F0"/>
    <w:rsid w:val="00936052"/>
    <w:rsid w:val="0094365E"/>
    <w:rsid w:val="00957FF8"/>
    <w:rsid w:val="0096154C"/>
    <w:rsid w:val="00970198"/>
    <w:rsid w:val="00976CD7"/>
    <w:rsid w:val="00985E67"/>
    <w:rsid w:val="00993544"/>
    <w:rsid w:val="009A00D5"/>
    <w:rsid w:val="009C2B4D"/>
    <w:rsid w:val="009D333B"/>
    <w:rsid w:val="009D710A"/>
    <w:rsid w:val="009E1203"/>
    <w:rsid w:val="009E352F"/>
    <w:rsid w:val="009E6380"/>
    <w:rsid w:val="009F079F"/>
    <w:rsid w:val="009F5BB1"/>
    <w:rsid w:val="00A04F7E"/>
    <w:rsid w:val="00A11027"/>
    <w:rsid w:val="00A12AF0"/>
    <w:rsid w:val="00A245B0"/>
    <w:rsid w:val="00A33247"/>
    <w:rsid w:val="00A4018C"/>
    <w:rsid w:val="00A43E32"/>
    <w:rsid w:val="00A502F8"/>
    <w:rsid w:val="00A655E2"/>
    <w:rsid w:val="00A671FA"/>
    <w:rsid w:val="00A67601"/>
    <w:rsid w:val="00A751E9"/>
    <w:rsid w:val="00A8772A"/>
    <w:rsid w:val="00AB0CC1"/>
    <w:rsid w:val="00AB3091"/>
    <w:rsid w:val="00AB32A0"/>
    <w:rsid w:val="00AB32D7"/>
    <w:rsid w:val="00AC1FC8"/>
    <w:rsid w:val="00AD22C2"/>
    <w:rsid w:val="00B05887"/>
    <w:rsid w:val="00B16C60"/>
    <w:rsid w:val="00B26C00"/>
    <w:rsid w:val="00B312E6"/>
    <w:rsid w:val="00B33C85"/>
    <w:rsid w:val="00B367E1"/>
    <w:rsid w:val="00B418C1"/>
    <w:rsid w:val="00B43AB4"/>
    <w:rsid w:val="00B479E5"/>
    <w:rsid w:val="00B554E7"/>
    <w:rsid w:val="00B567A1"/>
    <w:rsid w:val="00B63880"/>
    <w:rsid w:val="00B63942"/>
    <w:rsid w:val="00B83F18"/>
    <w:rsid w:val="00B922FE"/>
    <w:rsid w:val="00B92DF0"/>
    <w:rsid w:val="00B956BF"/>
    <w:rsid w:val="00B967EB"/>
    <w:rsid w:val="00B97697"/>
    <w:rsid w:val="00BA1801"/>
    <w:rsid w:val="00BA2054"/>
    <w:rsid w:val="00BA4C90"/>
    <w:rsid w:val="00BB3882"/>
    <w:rsid w:val="00BB6A50"/>
    <w:rsid w:val="00BC36CD"/>
    <w:rsid w:val="00BD0465"/>
    <w:rsid w:val="00BD08C7"/>
    <w:rsid w:val="00BE66E0"/>
    <w:rsid w:val="00BF52AA"/>
    <w:rsid w:val="00C00888"/>
    <w:rsid w:val="00C04C7A"/>
    <w:rsid w:val="00C1162D"/>
    <w:rsid w:val="00C12DCC"/>
    <w:rsid w:val="00C148C5"/>
    <w:rsid w:val="00C36095"/>
    <w:rsid w:val="00C40811"/>
    <w:rsid w:val="00C53C2A"/>
    <w:rsid w:val="00C70E09"/>
    <w:rsid w:val="00C73DAA"/>
    <w:rsid w:val="00C77E4F"/>
    <w:rsid w:val="00C86984"/>
    <w:rsid w:val="00CA137A"/>
    <w:rsid w:val="00CA25CA"/>
    <w:rsid w:val="00CA4DFB"/>
    <w:rsid w:val="00CB47C9"/>
    <w:rsid w:val="00CB65A6"/>
    <w:rsid w:val="00CC1BF2"/>
    <w:rsid w:val="00CD76A9"/>
    <w:rsid w:val="00CE0097"/>
    <w:rsid w:val="00CE45B0"/>
    <w:rsid w:val="00CF2E55"/>
    <w:rsid w:val="00CF3FDF"/>
    <w:rsid w:val="00D04055"/>
    <w:rsid w:val="00D05658"/>
    <w:rsid w:val="00D10F3C"/>
    <w:rsid w:val="00D13DBF"/>
    <w:rsid w:val="00D16B67"/>
    <w:rsid w:val="00D4101F"/>
    <w:rsid w:val="00D51389"/>
    <w:rsid w:val="00D5254B"/>
    <w:rsid w:val="00D601CE"/>
    <w:rsid w:val="00D64077"/>
    <w:rsid w:val="00D65504"/>
    <w:rsid w:val="00D66013"/>
    <w:rsid w:val="00D6605E"/>
    <w:rsid w:val="00D73BB9"/>
    <w:rsid w:val="00D751BD"/>
    <w:rsid w:val="00D9303B"/>
    <w:rsid w:val="00D978CA"/>
    <w:rsid w:val="00DA104F"/>
    <w:rsid w:val="00DA15B0"/>
    <w:rsid w:val="00DB36F7"/>
    <w:rsid w:val="00DC0798"/>
    <w:rsid w:val="00DC323C"/>
    <w:rsid w:val="00DC4BDF"/>
    <w:rsid w:val="00DF2239"/>
    <w:rsid w:val="00DF5C2C"/>
    <w:rsid w:val="00E07D8B"/>
    <w:rsid w:val="00E20561"/>
    <w:rsid w:val="00E31272"/>
    <w:rsid w:val="00E32343"/>
    <w:rsid w:val="00E432FA"/>
    <w:rsid w:val="00E63513"/>
    <w:rsid w:val="00E71142"/>
    <w:rsid w:val="00E825ED"/>
    <w:rsid w:val="00E91ECF"/>
    <w:rsid w:val="00E95F69"/>
    <w:rsid w:val="00EA1091"/>
    <w:rsid w:val="00EA4BC5"/>
    <w:rsid w:val="00EA5265"/>
    <w:rsid w:val="00EA5F69"/>
    <w:rsid w:val="00EB2E93"/>
    <w:rsid w:val="00EB42DD"/>
    <w:rsid w:val="00EC5E1A"/>
    <w:rsid w:val="00EC7994"/>
    <w:rsid w:val="00EF0CC1"/>
    <w:rsid w:val="00F02331"/>
    <w:rsid w:val="00F02D5F"/>
    <w:rsid w:val="00F21D35"/>
    <w:rsid w:val="00F25A10"/>
    <w:rsid w:val="00F34963"/>
    <w:rsid w:val="00F40E1E"/>
    <w:rsid w:val="00F520A1"/>
    <w:rsid w:val="00F541A0"/>
    <w:rsid w:val="00F54935"/>
    <w:rsid w:val="00F60625"/>
    <w:rsid w:val="00F77267"/>
    <w:rsid w:val="00F81F4A"/>
    <w:rsid w:val="00F86EBF"/>
    <w:rsid w:val="00F938DC"/>
    <w:rsid w:val="00F977C0"/>
    <w:rsid w:val="00FB0489"/>
    <w:rsid w:val="00FB06CD"/>
    <w:rsid w:val="00FB485E"/>
    <w:rsid w:val="00FD2B3C"/>
    <w:rsid w:val="00FD7863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B9FFC7-EC6D-49F1-BEEB-5FDC1708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0561"/>
    <w:pPr>
      <w:keepNext/>
      <w:ind w:left="0" w:firstLine="0"/>
      <w:jc w:val="both"/>
      <w:outlineLvl w:val="0"/>
    </w:pPr>
    <w:rPr>
      <w:rFonts w:ascii="Arial" w:hAnsi="Arial"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6075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5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075A0"/>
    <w:rPr>
      <w:rFonts w:cs="Times New Roman"/>
      <w:color w:val="00000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5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75A0"/>
    <w:rPr>
      <w:rFonts w:cs="Times New Roman"/>
      <w:b/>
      <w:bCs/>
      <w:color w:val="00000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075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75A0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E20561"/>
    <w:rPr>
      <w:rFonts w:ascii="Arial" w:hAnsi="Arial" w:cs="Arial"/>
      <w:b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1418</Words>
  <Characters>8513</Characters>
  <Application>Microsoft Office Word</Application>
  <DocSecurity>0</DocSecurity>
  <Lines>70</Lines>
  <Paragraphs>19</Paragraphs>
  <ScaleCrop>false</ScaleCrop>
  <Company>TOSHIBA</Company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Justyna Stępień</cp:lastModifiedBy>
  <cp:revision>46</cp:revision>
  <cp:lastPrinted>2012-03-07T05:59:00Z</cp:lastPrinted>
  <dcterms:created xsi:type="dcterms:W3CDTF">2012-06-26T08:56:00Z</dcterms:created>
  <dcterms:modified xsi:type="dcterms:W3CDTF">2017-05-31T22:06:00Z</dcterms:modified>
</cp:coreProperties>
</file>