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70" w:rsidRPr="008C2BB0" w:rsidRDefault="007E1370" w:rsidP="007E137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7E1370" w:rsidRPr="008C2BB0" w:rsidRDefault="007E1370" w:rsidP="007E137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Zarządzenia Rektora nr 10/12</w:t>
      </w:r>
    </w:p>
    <w:p w:rsidR="007E1370" w:rsidRPr="008C2BB0" w:rsidRDefault="007E1370" w:rsidP="007E137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dnia 21 lutego 2012r. </w:t>
      </w:r>
    </w:p>
    <w:p w:rsidR="007E1370" w:rsidRPr="007E1370" w:rsidRDefault="007E1370" w:rsidP="007E1370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7E1370" w:rsidRDefault="007E1370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proofErr w:type="gramStart"/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proofErr w:type="gramEnd"/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D24" w:rsidP="007E137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DB4D24">
              <w:rPr>
                <w:rFonts w:ascii="Arial" w:eastAsia="Times New Roman" w:hAnsi="Arial" w:cs="Arial"/>
                <w:b/>
                <w:lang w:eastAsia="pl-PL"/>
              </w:rPr>
              <w:t>Mosty podwiesz</w:t>
            </w:r>
            <w:r w:rsidR="007E1370">
              <w:rPr>
                <w:rFonts w:ascii="Arial" w:eastAsia="Times New Roman" w:hAnsi="Arial" w:cs="Arial"/>
                <w:b/>
                <w:lang w:eastAsia="pl-PL"/>
              </w:rPr>
              <w:t>a</w:t>
            </w:r>
            <w:r w:rsidRPr="00DB4D24">
              <w:rPr>
                <w:rFonts w:ascii="Arial" w:eastAsia="Times New Roman" w:hAnsi="Arial" w:cs="Arial"/>
                <w:b/>
                <w:lang w:eastAsia="pl-PL"/>
              </w:rPr>
              <w:t>ne i wiszące</w:t>
            </w:r>
          </w:p>
        </w:tc>
      </w:tr>
      <w:tr w:rsidR="00A502F8" w:rsidRPr="0099021E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DB4413" w:rsidRDefault="00DB4D24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DB4D24">
              <w:rPr>
                <w:rFonts w:ascii="Arial" w:hAnsi="Arial" w:cs="Arial"/>
                <w:b/>
                <w:lang w:val="en-US"/>
              </w:rPr>
              <w:t xml:space="preserve">Cable-stayed </w:t>
            </w:r>
            <w:r>
              <w:rPr>
                <w:rFonts w:ascii="Arial" w:hAnsi="Arial" w:cs="Arial"/>
                <w:b/>
                <w:lang w:val="en-US"/>
              </w:rPr>
              <w:t xml:space="preserve">and Suspension </w:t>
            </w:r>
            <w:r w:rsidR="00DD362B" w:rsidRPr="00DD362B">
              <w:rPr>
                <w:rFonts w:ascii="Arial" w:hAnsi="Arial" w:cs="Arial"/>
                <w:b/>
                <w:lang w:val="en-US"/>
              </w:rPr>
              <w:t>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B4413" w:rsidP="00DD362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  <w:proofErr w:type="gram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  <w:proofErr w:type="gramEnd"/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FE6F0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883D2C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hab. inż. Paweł Kossakowski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E1370" w:rsidRDefault="007E1370" w:rsidP="007E137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7E13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</w:t>
            </w:r>
            <w:proofErr w:type="gramEnd"/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7E13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7E13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="00DB441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DD362B">
              <w:rPr>
                <w:rFonts w:ascii="Arial" w:eastAsia="Times New Roman" w:hAnsi="Arial" w:cs="Arial"/>
                <w:b/>
                <w:lang w:eastAsia="pl-PL"/>
              </w:rPr>
              <w:t>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4D0A9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7E13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t</w:t>
            </w:r>
            <w:r w:rsidR="00DB4413">
              <w:rPr>
                <w:rFonts w:ascii="Arial" w:eastAsia="Times New Roman" w:hAnsi="Arial" w:cs="Arial"/>
                <w:b/>
                <w:lang w:eastAsia="pl-PL"/>
              </w:rPr>
              <w:t>ak</w:t>
            </w:r>
            <w:proofErr w:type="gramEnd"/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7E13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B97697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0F4BEF" w:rsidRPr="006672F4" w:rsidRDefault="00457A2F" w:rsidP="007E13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7E13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7E13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DB4D24" w:rsidP="007E13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7E1370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DB4D24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B4D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Poznanie w szerszym zakresie technik budowy, projektowania złożonych zespolonych obiektów mostowych, w zakresie mostów belkowych, mostów podwieszonych, łukowych. Zapoznanie z nowoczesnymi tendencjami w budowie mostów zespolonych typy stal beton oraz beton-beton.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1E522A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2A" w:rsidRPr="007E1370" w:rsidRDefault="001E522A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99021E" w:rsidRDefault="0099021E" w:rsidP="008A54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B50BA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B50BA" w:rsidRDefault="003A46C0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</w:t>
            </w:r>
            <w:r w:rsidR="00D13757"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AB50BA" w:rsidRDefault="0099021E" w:rsidP="009902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D13757" w:rsidRPr="00AB50BA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T2A_W04</w:t>
            </w:r>
          </w:p>
        </w:tc>
      </w:tr>
      <w:tr w:rsidR="00D13757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57" w:rsidRPr="007E1370" w:rsidRDefault="00D13757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99021E" w:rsidRDefault="0099021E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hAnsi="Arial" w:cs="Arial"/>
                <w:sz w:val="20"/>
                <w:szCs w:val="20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757" w:rsidRPr="00AB50BA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57" w:rsidRPr="00AB50BA" w:rsidRDefault="00D13757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757" w:rsidRPr="00AB50BA" w:rsidRDefault="0099021E" w:rsidP="007E137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T2A_W01, T2A_W02, T2A_W04</w:t>
            </w:r>
          </w:p>
        </w:tc>
      </w:tr>
      <w:tr w:rsidR="00AB50BA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0BA" w:rsidRPr="007E1370" w:rsidRDefault="00AB50BA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99021E" w:rsidRDefault="0099021E" w:rsidP="0075345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AB50BA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AB50BA" w:rsidRDefault="0099021E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0BA" w:rsidRPr="00AB50BA" w:rsidRDefault="0099021E" w:rsidP="009902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T2A_W01</w:t>
            </w:r>
            <w:r w:rsidR="00AB50BA" w:rsidRPr="00AB50BA">
              <w:rPr>
                <w:bCs/>
                <w:sz w:val="20"/>
                <w:szCs w:val="20"/>
              </w:rPr>
              <w:t>, T2A_W07</w:t>
            </w:r>
          </w:p>
        </w:tc>
      </w:tr>
      <w:tr w:rsidR="00AB50BA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0BA" w:rsidRPr="007E1370" w:rsidRDefault="00AB50BA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99021E" w:rsidRDefault="0099021E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normy oraz wytyczne projektowania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BA" w:rsidRPr="00AB50BA" w:rsidRDefault="00AB50BA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B50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A" w:rsidRPr="0099021E" w:rsidRDefault="0099021E" w:rsidP="007E137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0BA" w:rsidRPr="00AB50BA" w:rsidRDefault="00AB50BA" w:rsidP="0099021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B50BA">
              <w:rPr>
                <w:bCs/>
                <w:sz w:val="20"/>
                <w:szCs w:val="20"/>
              </w:rPr>
              <w:t xml:space="preserve">T2A_W03, T2A_W04, </w:t>
            </w:r>
          </w:p>
        </w:tc>
      </w:tr>
      <w:tr w:rsidR="005E0886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86" w:rsidRPr="007E1370" w:rsidRDefault="005E0886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99021E" w:rsidRDefault="0099021E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zaprojektować elementy i połączenia w złożonych konstrukcjach metalowych, żelbetowych, sprężonych, zespolonych i cienkościennych.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5E0886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886" w:rsidRDefault="0099021E" w:rsidP="007E137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T2A_U16,</w:t>
            </w:r>
          </w:p>
          <w:p w:rsidR="0099021E" w:rsidRPr="00042820" w:rsidRDefault="0099021E" w:rsidP="007E1370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T2A_U18, T2A_U19</w:t>
            </w:r>
          </w:p>
        </w:tc>
      </w:tr>
      <w:tr w:rsidR="005E0886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886" w:rsidRPr="007E1370" w:rsidRDefault="005E0886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99021E" w:rsidRDefault="0099021E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5E0886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86" w:rsidRPr="005E0886" w:rsidRDefault="0099021E" w:rsidP="007E137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T2A_U09, T2A_U17</w:t>
            </w:r>
            <w:r w:rsidR="005E0886" w:rsidRPr="005E0886">
              <w:rPr>
                <w:bCs/>
                <w:sz w:val="20"/>
                <w:szCs w:val="20"/>
              </w:rPr>
              <w:t>, T2A_U18, T2A_U19</w:t>
            </w:r>
          </w:p>
        </w:tc>
      </w:tr>
      <w:tr w:rsidR="005E0886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886" w:rsidRPr="007E1370" w:rsidRDefault="005E0886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99021E" w:rsidRDefault="0099021E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  <w:r w:rsidR="005E0886" w:rsidRPr="0099021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886" w:rsidRPr="005E0886" w:rsidRDefault="008643A2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6" w:rsidRPr="005E0886" w:rsidRDefault="0099021E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886" w:rsidRDefault="0099021E" w:rsidP="007E137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T2A_U08, T2A_U10, TA2_U12,</w:t>
            </w:r>
          </w:p>
          <w:p w:rsidR="0099021E" w:rsidRPr="005E0886" w:rsidRDefault="0099021E" w:rsidP="007E1370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T2A_U17, T2A_U18</w:t>
            </w:r>
            <w:r w:rsidRPr="005E0886">
              <w:rPr>
                <w:bCs/>
                <w:sz w:val="20"/>
                <w:szCs w:val="20"/>
              </w:rPr>
              <w:t>, TA2_U19</w:t>
            </w:r>
          </w:p>
        </w:tc>
      </w:tr>
      <w:tr w:rsidR="007F3016" w:rsidRPr="00DD362B" w:rsidTr="007E13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6" w:rsidRPr="007E1370" w:rsidRDefault="007F3016" w:rsidP="007E13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016" w:rsidRPr="0099021E" w:rsidRDefault="0099021E" w:rsidP="0075345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021E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016" w:rsidRPr="004E38DD" w:rsidRDefault="007F3016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="008643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16" w:rsidRPr="004E38DD" w:rsidRDefault="007F3016" w:rsidP="007E13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3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1E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99021E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7F3016" w:rsidRPr="004E38DD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T2A_K04</w:t>
            </w:r>
            <w:bookmarkStart w:id="0" w:name="_GoBack"/>
            <w:bookmarkEnd w:id="0"/>
          </w:p>
        </w:tc>
      </w:tr>
      <w:tr w:rsidR="0099021E" w:rsidRPr="007C12EB" w:rsidTr="007E137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1E" w:rsidRPr="007E1370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1E" w:rsidRPr="0099021E" w:rsidRDefault="0099021E" w:rsidP="0099021E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902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99021E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1E" w:rsidRPr="007F3016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1E" w:rsidRPr="007F3016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21E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T2A_K01,</w:t>
            </w:r>
          </w:p>
          <w:p w:rsidR="0099021E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T2A_K06,</w:t>
            </w:r>
          </w:p>
          <w:p w:rsidR="0099021E" w:rsidRPr="007F3016" w:rsidRDefault="0099021E" w:rsidP="0099021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0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T2A_K07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3C2A16" w:rsidRPr="0090483D" w:rsidRDefault="00A92468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Zarys historii mostów wiszących i podwieszanych, podstawowe klasyfikacje mostów wiszących i podwieszanych, charakterystyka mostów wiszących i podwieszanych (pylony, podwieszenia pomostów, pomosty),</w:t>
            </w:r>
          </w:p>
        </w:tc>
        <w:tc>
          <w:tcPr>
            <w:tcW w:w="1164" w:type="dxa"/>
          </w:tcPr>
          <w:p w:rsidR="00BE2CFF" w:rsidRPr="00DC54F1" w:rsidRDefault="00BE2CFF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DC54F1" w:rsidRDefault="00BE2CFF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DC54F1" w:rsidRDefault="00BE2CFF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C54F1" w:rsidRDefault="00DC54F1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5 - 6</w:t>
            </w:r>
          </w:p>
        </w:tc>
        <w:tc>
          <w:tcPr>
            <w:tcW w:w="7166" w:type="dxa"/>
          </w:tcPr>
          <w:p w:rsidR="00EA1C3D" w:rsidRPr="0090483D" w:rsidRDefault="00A92468" w:rsidP="009048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Kable podwieszające i ich zakotwienia (wymagane właściwości kabli podwieszeń, zakotwienia kabli, systemy podwieszeń, badania kabli podwieszeń),</w:t>
            </w:r>
          </w:p>
        </w:tc>
        <w:tc>
          <w:tcPr>
            <w:tcW w:w="1164" w:type="dxa"/>
          </w:tcPr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7 - 10</w:t>
            </w:r>
          </w:p>
        </w:tc>
        <w:tc>
          <w:tcPr>
            <w:tcW w:w="7166" w:type="dxa"/>
          </w:tcPr>
          <w:p w:rsidR="00A92468" w:rsidRPr="00A92468" w:rsidRDefault="00A92468" w:rsidP="00A924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Metody budowy mostów wiszących i podwieszanych (budowa pylonów, budowa mostów z pomostami betonowymi, stalowymi, zespolonymi, instalowanie podwieszeń w moście), </w:t>
            </w:r>
          </w:p>
          <w:p w:rsidR="00EA1C3D" w:rsidRPr="0090483D" w:rsidRDefault="00EA1C3D" w:rsidP="00A924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EA1C3D" w:rsidRPr="00333B68">
        <w:tc>
          <w:tcPr>
            <w:tcW w:w="848" w:type="dxa"/>
          </w:tcPr>
          <w:p w:rsidR="00EA1C3D" w:rsidRPr="00333B68" w:rsidRDefault="00EA1C3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EA1C3D" w:rsidRPr="0090483D" w:rsidRDefault="00A92468" w:rsidP="00F2516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2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Wytyczne projektowania mostów wiszących i podwieszanych, przepisy techniczne, charakterystyka ekonomiczna mostów wiszących i podwieszanych,   </w:t>
            </w:r>
          </w:p>
        </w:tc>
        <w:tc>
          <w:tcPr>
            <w:tcW w:w="1164" w:type="dxa"/>
          </w:tcPr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A1C3D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Charakterystyka </w:t>
      </w:r>
      <w:r w:rsidR="0090483D">
        <w:rPr>
          <w:rFonts w:ascii="Arial" w:hAnsi="Arial" w:cs="Arial"/>
          <w:sz w:val="20"/>
          <w:szCs w:val="20"/>
        </w:rPr>
        <w:t>zajęć</w:t>
      </w:r>
      <w:r>
        <w:rPr>
          <w:rFonts w:ascii="Arial" w:hAnsi="Arial" w:cs="Arial"/>
          <w:sz w:val="20"/>
          <w:szCs w:val="20"/>
        </w:rPr>
        <w:t xml:space="preserve"> </w:t>
      </w:r>
      <w:r w:rsidR="00EA1C3D">
        <w:rPr>
          <w:rFonts w:ascii="Arial" w:hAnsi="Arial" w:cs="Arial"/>
          <w:sz w:val="20"/>
          <w:szCs w:val="20"/>
        </w:rPr>
        <w:t>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indywidualnego zadania </w:t>
      </w:r>
      <w:r w:rsidR="0090483D">
        <w:rPr>
          <w:rFonts w:ascii="Arial" w:hAnsi="Arial" w:cs="Arial"/>
          <w:sz w:val="20"/>
          <w:szCs w:val="20"/>
        </w:rPr>
        <w:t>obliczeniowego</w:t>
      </w:r>
    </w:p>
    <w:p w:rsidR="004D0A93" w:rsidRDefault="004D0A93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768"/>
        <w:gridCol w:w="1162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EA1C3D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projektowych</w:t>
            </w:r>
            <w:proofErr w:type="gramEnd"/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A924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0A93">
              <w:rPr>
                <w:rFonts w:ascii="Arial" w:hAnsi="Arial" w:cs="Arial"/>
                <w:sz w:val="20"/>
                <w:szCs w:val="20"/>
              </w:rPr>
              <w:t>-</w:t>
            </w:r>
            <w:r w:rsidR="00A924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7" w:type="dxa"/>
          </w:tcPr>
          <w:p w:rsidR="0090483D" w:rsidRPr="00DC54F1" w:rsidRDefault="00EA1C3D" w:rsidP="00DC54F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</w:t>
            </w:r>
            <w:r w:rsidR="0090483D"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mostu </w:t>
            </w:r>
            <w:r w:rsidR="00A92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podwieszonego</w:t>
            </w:r>
            <w:r w:rsidR="0090483D" w:rsidRPr="00DC54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71328" w:rsidRPr="00333B68" w:rsidRDefault="00B71328" w:rsidP="004A03B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A1C3D" w:rsidRPr="00DC54F1" w:rsidRDefault="00EA1C3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E53C1D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DC54F1" w:rsidRDefault="00E53C1D" w:rsidP="007E13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F" w:rsidRPr="007E1370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7E1370" w:rsidRDefault="00BA79F6" w:rsidP="00EA1C3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A1C3D"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833E67" w:rsidTr="007E1370">
        <w:trPr>
          <w:trHeight w:val="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833E67" w:rsidRPr="007C12EB" w:rsidTr="00DC54F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67" w:rsidRPr="007E1370" w:rsidRDefault="00833E67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13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E67" w:rsidRPr="007E1370" w:rsidRDefault="00833E67">
            <w:pPr>
              <w:rPr>
                <w:sz w:val="20"/>
                <w:szCs w:val="20"/>
              </w:rPr>
            </w:pPr>
            <w:r w:rsidRPr="007E13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4A03BE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7E1370" w:rsidRDefault="007E1370" w:rsidP="004A03BE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7E1370" w:rsidRDefault="000F4BEF" w:rsidP="007E1370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E1370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EA1C3D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37</w:t>
            </w:r>
          </w:p>
          <w:p w:rsidR="00A671FA" w:rsidRPr="00851AB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90483D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7E1370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7E1370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DE1A43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7E1370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16</w:t>
            </w:r>
          </w:p>
          <w:p w:rsidR="00A671FA" w:rsidRPr="006672F4" w:rsidRDefault="00A671FA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426ACC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7E1370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7E1370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92468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7E1370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810ADC" w:rsidP="007E13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4D0A93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7E137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</w:tbl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4D0A93" w:rsidTr="007E1370">
        <w:tc>
          <w:tcPr>
            <w:tcW w:w="1985" w:type="dxa"/>
            <w:vAlign w:val="center"/>
          </w:tcPr>
          <w:p w:rsidR="004D0A93" w:rsidRPr="004D0A93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A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D634FF" w:rsidRPr="00D634FF" w:rsidRDefault="00D634FF" w:rsidP="00D634FF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Biliszczuk</w:t>
            </w:r>
            <w:proofErr w:type="spellEnd"/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J.: Mosty Podwieszone. ARKADY. Warszawa 2005.</w:t>
            </w:r>
          </w:p>
          <w:p w:rsidR="00D634FF" w:rsidRPr="00D634FF" w:rsidRDefault="00D634FF" w:rsidP="00D634FF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Biliszczuk</w:t>
            </w:r>
            <w:proofErr w:type="spellEnd"/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J.: Projektowanie stalowych kładek dla pieszych, WDE, Wrocław 2004</w:t>
            </w:r>
          </w:p>
          <w:p w:rsidR="004D0A93" w:rsidRPr="004D0A93" w:rsidRDefault="00D634FF" w:rsidP="00D634FF">
            <w:pPr>
              <w:pStyle w:val="Akapitzlist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Jarominiak</w:t>
            </w:r>
            <w:proofErr w:type="spellEnd"/>
            <w:r w:rsidRPr="00D634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A.: Mosty Podwieszone. Oficyna Wydawnicza Politechniki Rzeszowskiej, Rzeszów 2002</w:t>
            </w:r>
          </w:p>
        </w:tc>
      </w:tr>
    </w:tbl>
    <w:p w:rsidR="004D0A93" w:rsidRPr="009D333B" w:rsidRDefault="004D0A93" w:rsidP="004D0A93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4D0A93" w:rsidRPr="009D333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71E7B"/>
    <w:rsid w:val="00083F88"/>
    <w:rsid w:val="00096974"/>
    <w:rsid w:val="000A0B7B"/>
    <w:rsid w:val="000E5EE3"/>
    <w:rsid w:val="000E67D1"/>
    <w:rsid w:val="000F4143"/>
    <w:rsid w:val="000F4BEF"/>
    <w:rsid w:val="0012165F"/>
    <w:rsid w:val="00130C97"/>
    <w:rsid w:val="00147A36"/>
    <w:rsid w:val="00152926"/>
    <w:rsid w:val="00154040"/>
    <w:rsid w:val="001650D6"/>
    <w:rsid w:val="00173222"/>
    <w:rsid w:val="001B620C"/>
    <w:rsid w:val="001E522A"/>
    <w:rsid w:val="001F35FD"/>
    <w:rsid w:val="00225D33"/>
    <w:rsid w:val="002607B7"/>
    <w:rsid w:val="0028533E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F26BE"/>
    <w:rsid w:val="003F41A8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0886"/>
    <w:rsid w:val="00623367"/>
    <w:rsid w:val="006457D9"/>
    <w:rsid w:val="006672F4"/>
    <w:rsid w:val="006804F8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1663E"/>
    <w:rsid w:val="00750DE4"/>
    <w:rsid w:val="007550F8"/>
    <w:rsid w:val="007724B7"/>
    <w:rsid w:val="007C6008"/>
    <w:rsid w:val="007D2831"/>
    <w:rsid w:val="007E1370"/>
    <w:rsid w:val="007F3016"/>
    <w:rsid w:val="00805EA4"/>
    <w:rsid w:val="00810ADC"/>
    <w:rsid w:val="0082529E"/>
    <w:rsid w:val="00833E67"/>
    <w:rsid w:val="00835BEC"/>
    <w:rsid w:val="00845723"/>
    <w:rsid w:val="00851AB4"/>
    <w:rsid w:val="008546FE"/>
    <w:rsid w:val="008643A2"/>
    <w:rsid w:val="00883D2C"/>
    <w:rsid w:val="00886E57"/>
    <w:rsid w:val="00895D8F"/>
    <w:rsid w:val="008A54B4"/>
    <w:rsid w:val="008B1233"/>
    <w:rsid w:val="008B6901"/>
    <w:rsid w:val="0090483D"/>
    <w:rsid w:val="009435CD"/>
    <w:rsid w:val="00970198"/>
    <w:rsid w:val="0099021E"/>
    <w:rsid w:val="009D333B"/>
    <w:rsid w:val="009D4F3E"/>
    <w:rsid w:val="009F5BB1"/>
    <w:rsid w:val="00A04F7E"/>
    <w:rsid w:val="00A502F8"/>
    <w:rsid w:val="00A53997"/>
    <w:rsid w:val="00A5751E"/>
    <w:rsid w:val="00A671FA"/>
    <w:rsid w:val="00A751E9"/>
    <w:rsid w:val="00A92468"/>
    <w:rsid w:val="00AB32D7"/>
    <w:rsid w:val="00AB50BA"/>
    <w:rsid w:val="00AD22C2"/>
    <w:rsid w:val="00B16C60"/>
    <w:rsid w:val="00B34081"/>
    <w:rsid w:val="00B71328"/>
    <w:rsid w:val="00B922FE"/>
    <w:rsid w:val="00BA0B41"/>
    <w:rsid w:val="00BA1801"/>
    <w:rsid w:val="00BA2054"/>
    <w:rsid w:val="00BA79F6"/>
    <w:rsid w:val="00BB3882"/>
    <w:rsid w:val="00BC36CD"/>
    <w:rsid w:val="00BE16BE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C7F72"/>
    <w:rsid w:val="00CE526F"/>
    <w:rsid w:val="00CF2E55"/>
    <w:rsid w:val="00D04055"/>
    <w:rsid w:val="00D13757"/>
    <w:rsid w:val="00D13DBF"/>
    <w:rsid w:val="00D16B67"/>
    <w:rsid w:val="00D32F66"/>
    <w:rsid w:val="00D51389"/>
    <w:rsid w:val="00D62631"/>
    <w:rsid w:val="00D634FF"/>
    <w:rsid w:val="00D64030"/>
    <w:rsid w:val="00D65504"/>
    <w:rsid w:val="00D9303B"/>
    <w:rsid w:val="00DA529F"/>
    <w:rsid w:val="00DB4413"/>
    <w:rsid w:val="00DB4D24"/>
    <w:rsid w:val="00DC323C"/>
    <w:rsid w:val="00DC3624"/>
    <w:rsid w:val="00DC54F1"/>
    <w:rsid w:val="00DD362B"/>
    <w:rsid w:val="00DE1A43"/>
    <w:rsid w:val="00E432FA"/>
    <w:rsid w:val="00E53C1D"/>
    <w:rsid w:val="00EA1C3D"/>
    <w:rsid w:val="00EB2E93"/>
    <w:rsid w:val="00F02331"/>
    <w:rsid w:val="00F2516D"/>
    <w:rsid w:val="00F40E1E"/>
    <w:rsid w:val="00F56E4D"/>
    <w:rsid w:val="00FB0489"/>
    <w:rsid w:val="00FB485E"/>
    <w:rsid w:val="00FC42F1"/>
    <w:rsid w:val="00FD7A4C"/>
    <w:rsid w:val="00FE107B"/>
    <w:rsid w:val="00FE6280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8260F-8052-4F65-9B0E-07CF50D9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PK</dc:creator>
  <cp:lastModifiedBy>grzegorz swit</cp:lastModifiedBy>
  <cp:revision>5</cp:revision>
  <cp:lastPrinted>2012-02-22T07:49:00Z</cp:lastPrinted>
  <dcterms:created xsi:type="dcterms:W3CDTF">2015-09-29T10:17:00Z</dcterms:created>
  <dcterms:modified xsi:type="dcterms:W3CDTF">2015-12-07T19:35:00Z</dcterms:modified>
</cp:coreProperties>
</file>