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A" w:rsidRDefault="006E368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</w:p>
    <w:p w:rsidR="006E368A" w:rsidRDefault="006E368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6E368A" w:rsidRDefault="006E368A">
      <w:pPr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z dnia 21 lutego 2012r.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368A" w:rsidRDefault="006E368A">
      <w:pPr>
        <w:rPr>
          <w:rFonts w:ascii="Arial" w:hAnsi="Arial" w:cs="Arial"/>
          <w:sz w:val="22"/>
          <w:szCs w:val="22"/>
        </w:rPr>
      </w:pPr>
    </w:p>
    <w:p w:rsidR="006E368A" w:rsidRDefault="006E368A">
      <w:pPr>
        <w:pStyle w:val="Heading1"/>
      </w:pPr>
      <w:r>
        <w:rPr>
          <w:highlight w:val="lightGray"/>
        </w:rPr>
        <w:t>KARTA  MODUŁU / KARTA PRZEDMIOTU</w:t>
      </w:r>
    </w:p>
    <w:p w:rsidR="006E368A" w:rsidRDefault="006E368A">
      <w:pPr>
        <w:tabs>
          <w:tab w:val="left" w:pos="5280"/>
        </w:tabs>
        <w:ind w:left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6E368A" w:rsidRPr="00D975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6E368A" w:rsidRPr="00D975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4"/>
              <w:rPr>
                <w:color w:val="auto"/>
                <w:sz w:val="24"/>
                <w:szCs w:val="24"/>
              </w:rPr>
            </w:pPr>
            <w:r w:rsidRPr="00D975C6">
              <w:rPr>
                <w:sz w:val="24"/>
                <w:szCs w:val="24"/>
              </w:rPr>
              <w:t>Antropologia kultury miasta i wsi</w:t>
            </w:r>
          </w:p>
        </w:tc>
      </w:tr>
      <w:tr w:rsidR="006E368A" w:rsidRPr="00F710D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D975C6">
              <w:rPr>
                <w:rFonts w:ascii="Arial" w:hAnsi="Arial" w:cs="Arial"/>
                <w:b/>
                <w:bCs/>
                <w:lang w:val="en-US"/>
              </w:rPr>
              <w:t>Social anthropology of the cities and countries</w:t>
            </w:r>
          </w:p>
        </w:tc>
      </w:tr>
      <w:tr w:rsidR="006E368A" w:rsidRPr="00D975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2012/2013</w:t>
            </w:r>
          </w:p>
        </w:tc>
      </w:tr>
    </w:tbl>
    <w:p w:rsidR="006E368A" w:rsidRDefault="006E368A">
      <w:pPr>
        <w:ind w:left="0" w:firstLine="0"/>
        <w:rPr>
          <w:rFonts w:ascii="Arial" w:hAnsi="Arial" w:cs="Arial"/>
          <w:sz w:val="22"/>
          <w:szCs w:val="22"/>
        </w:rPr>
      </w:pPr>
    </w:p>
    <w:p w:rsidR="006E368A" w:rsidRDefault="006E368A">
      <w:pPr>
        <w:ind w:left="0" w:firstLine="0"/>
        <w:rPr>
          <w:rFonts w:ascii="Arial" w:hAnsi="Arial" w:cs="Arial"/>
          <w:sz w:val="22"/>
          <w:szCs w:val="22"/>
        </w:rPr>
      </w:pPr>
    </w:p>
    <w:p w:rsidR="006E368A" w:rsidRDefault="006E368A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USYTUOWANIE MODUŁU W SYSTEMIE STUDIÓW</w:t>
      </w:r>
    </w:p>
    <w:p w:rsidR="006E368A" w:rsidRDefault="006E368A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5"/>
              <w:rPr>
                <w:color w:val="auto"/>
              </w:rPr>
            </w:pPr>
            <w:r w:rsidRPr="00D975C6">
              <w:t>Architektura i Urbanistyka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5"/>
            </w:pPr>
            <w:r w:rsidRPr="00D975C6">
              <w:t>I stopień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5"/>
            </w:pPr>
            <w:r w:rsidRPr="00D975C6">
              <w:t>Ogólnoakademicki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(ogólnoakademicki / praktyczny)</w:t>
            </w:r>
          </w:p>
        </w:tc>
      </w:tr>
      <w:tr w:rsidR="006E368A" w:rsidRPr="00D975C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5"/>
            </w:pPr>
            <w:r>
              <w:t>S</w:t>
            </w:r>
            <w:r w:rsidRPr="00D975C6">
              <w:t>tacjonarne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pStyle w:val="Heading5"/>
              <w:rPr>
                <w:color w:val="auto"/>
              </w:rPr>
            </w:pPr>
            <w:r w:rsidRPr="00D975C6">
              <w:t>Katedra Architektury i Urbanistyki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Dr</w:t>
            </w:r>
            <w:r w:rsidRPr="00D975C6">
              <w:rPr>
                <w:rFonts w:ascii="Arial" w:hAnsi="Arial" w:cs="Arial"/>
                <w:b/>
                <w:bCs/>
              </w:rPr>
              <w:t xml:space="preserve"> Elżbieta Szot - Radziszewska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Dr hab. inż. Jerzy Z. Piotrowski, prof. PŚk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6E368A" w:rsidRDefault="006E368A">
      <w:pPr>
        <w:tabs>
          <w:tab w:val="left" w:pos="52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6E368A" w:rsidRDefault="006E368A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Ogólna charakterystyka przedmiotu</w:t>
      </w:r>
    </w:p>
    <w:p w:rsidR="006E368A" w:rsidRDefault="006E368A">
      <w:pPr>
        <w:pStyle w:val="ListParagraph"/>
        <w:ind w:left="0" w:firstLine="0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6E368A" w:rsidRPr="00D975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 w:rsidP="00F710D6">
            <w:pPr>
              <w:pStyle w:val="Heading5"/>
            </w:pPr>
            <w:r>
              <w:t>HES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pStyle w:val="Heading5"/>
            </w:pPr>
            <w:r w:rsidRPr="00D975C6">
              <w:t>Nieobowiązkowy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pStyle w:val="Heading6"/>
            </w:pPr>
            <w:r w:rsidRPr="00D975C6">
              <w:t>Język polski</w:t>
            </w:r>
          </w:p>
        </w:tc>
      </w:tr>
      <w:tr w:rsidR="006E368A" w:rsidRPr="00D975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Semestr IV</w:t>
            </w:r>
          </w:p>
        </w:tc>
      </w:tr>
      <w:tr w:rsidR="006E368A" w:rsidRPr="00D975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pStyle w:val="Heading5"/>
            </w:pPr>
            <w:r w:rsidRPr="00D975C6">
              <w:t>Semestr letni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(kody modułów / nazwy modułów)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nie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6E368A" w:rsidRPr="00D975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975C6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</w:tbl>
    <w:p w:rsidR="006E368A" w:rsidRDefault="006E368A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45"/>
        <w:gridCol w:w="1445"/>
        <w:gridCol w:w="1445"/>
        <w:gridCol w:w="1445"/>
        <w:gridCol w:w="1445"/>
      </w:tblGrid>
      <w:tr w:rsidR="006E368A" w:rsidRPr="00D975C6">
        <w:trPr>
          <w:trHeight w:val="567"/>
        </w:trPr>
        <w:tc>
          <w:tcPr>
            <w:tcW w:w="1985" w:type="dxa"/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5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5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5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5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6E368A" w:rsidRPr="00D975C6">
        <w:trPr>
          <w:trHeight w:val="283"/>
        </w:trPr>
        <w:tc>
          <w:tcPr>
            <w:tcW w:w="1985" w:type="dxa"/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5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368A" w:rsidRDefault="006E368A">
      <w:pPr>
        <w:ind w:left="0" w:firstLine="0"/>
        <w:rPr>
          <w:rFonts w:ascii="Arial" w:hAnsi="Arial" w:cs="Arial"/>
          <w:sz w:val="22"/>
          <w:szCs w:val="22"/>
        </w:rPr>
      </w:pPr>
    </w:p>
    <w:p w:rsidR="006E368A" w:rsidRDefault="006E36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3"/>
          <w:szCs w:val="23"/>
          <w:highlight w:val="lightGray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caps/>
          <w:sz w:val="23"/>
          <w:szCs w:val="23"/>
          <w:highlight w:val="lightGray"/>
        </w:rPr>
        <w:t>Efekty kształcenia i metody sprawdzania efektów kształcenia</w:t>
      </w:r>
    </w:p>
    <w:p w:rsidR="006E368A" w:rsidRDefault="006E368A">
      <w:pPr>
        <w:pStyle w:val="ListParagraph"/>
        <w:ind w:left="284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8366"/>
      </w:tblGrid>
      <w:tr w:rsidR="006E368A" w:rsidRPr="00D975C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F710D6" w:rsidRDefault="006E368A" w:rsidP="00F710D6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D6">
              <w:rPr>
                <w:rFonts w:ascii="Arial" w:hAnsi="Arial" w:cs="Arial"/>
                <w:sz w:val="20"/>
                <w:szCs w:val="20"/>
              </w:rPr>
              <w:t>Przygotowanie studentów do zajęć praktycznych w zakresie projektowania z uwzględnieniem specyfiki regionalnej oraz wykształcenie wrażliwości i poczucia estetyki w zakresie kreowania otoczenia przyjaznego człowiekowi i przyrodzie. Pokazanie jakie konsekwencje wywołują zmiany w jednym z elementów struktury krajobrazu kulturowego w życiu społeczności. Ilustracją tego procesu jest wiejski i małomiasteczkowy krajobraz kulturowy w Polsce, którego zmieniające się elementy, przekładają się również na głębokie zmiany nie tylko w sferze tzw. kultury materialnej ale i duchowej oraz społecznej.</w:t>
            </w:r>
          </w:p>
        </w:tc>
      </w:tr>
    </w:tbl>
    <w:p w:rsidR="006E368A" w:rsidRDefault="006E36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E368A" w:rsidRDefault="006E368A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4816"/>
        <w:gridCol w:w="1134"/>
        <w:gridCol w:w="1274"/>
        <w:gridCol w:w="1275"/>
      </w:tblGrid>
      <w:tr w:rsidR="006E368A" w:rsidRPr="00D975C6" w:rsidTr="00F710D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Forma prowadzenia zajęć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obszarowych</w:t>
            </w:r>
          </w:p>
        </w:tc>
      </w:tr>
      <w:tr w:rsidR="006E368A" w:rsidRPr="00D975C6" w:rsidTr="00F710D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 w:rsidP="00F710D6">
            <w:pPr>
              <w:ind w:left="12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Zna podstawowe zasady harmonijnego kształtowania współczesnej przestrzeni życia człowieka, z wykorzystaniem historycznej specyfiki regionalnej w architekturze;</w:t>
            </w:r>
          </w:p>
          <w:p w:rsidR="006E368A" w:rsidRPr="00D975C6" w:rsidRDefault="006E368A" w:rsidP="00F710D6">
            <w:pPr>
              <w:ind w:left="125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 postrzega krajobraz kulturowy wsi i miasta jako zjawisko obejmujące szeroki aspekt zagadnień związanych z harmonijnym współistnieniem człowieka, przyrody oraz wznoszonych obiektów architektury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5C6">
              <w:rPr>
                <w:rFonts w:ascii="Arial" w:hAnsi="Arial" w:cs="Arial"/>
                <w:sz w:val="20"/>
                <w:szCs w:val="20"/>
              </w:rPr>
              <w:t>wykorzystuje dziedzictwo kulturowe regionu w projektowaniu i kształtowaniu współczesnej zabudowy wsi i miasteczek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AB480F" w:rsidRDefault="006E368A" w:rsidP="00A607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C80DEF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C80DEF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6E368A" w:rsidRPr="00D975C6" w:rsidTr="00F710D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 w:rsidP="00F710D6">
            <w:pPr>
              <w:ind w:left="12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Znajomość podstaw teoretycznych do dalszego doskonalenia warsztatu architekta w zakresie kształtowania krajobrazu wiejskiego i miejskiego oraz umiejętność korzystania ze źródeł i literatury. </w:t>
            </w:r>
          </w:p>
          <w:p w:rsidR="006E368A" w:rsidRPr="00D975C6" w:rsidRDefault="006E368A" w:rsidP="00F710D6">
            <w:pPr>
              <w:pStyle w:val="BodyText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Umiejętne czerpanie inspiracji  z tradycyjnej architektury wiejskiej i małomiasteczkowej w projektowaniu współczesnych siedlisk ludzkich. </w:t>
            </w:r>
          </w:p>
          <w:p w:rsidR="006E368A" w:rsidRPr="00D975C6" w:rsidRDefault="006E368A" w:rsidP="00F710D6">
            <w:pPr>
              <w:pStyle w:val="BodyText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Wykształcenie wrażliwości i poczucia estetyki w zakresie kreowania otoczenia przyjaznego człowiekowi i przyrodzie.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AB480F" w:rsidRDefault="006E368A" w:rsidP="00A607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C80DEF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C80DEF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6E368A" w:rsidRPr="00D975C6" w:rsidTr="00F710D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0D6">
              <w:rPr>
                <w:rFonts w:ascii="Arial" w:hAnsi="Arial" w:cs="Arial"/>
                <w:b/>
                <w:bCs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 w:rsidP="00F710D6">
            <w:pPr>
              <w:ind w:left="125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Ma świadomości odpowiedzialności za zachowanie ciągłości tradycji i tożsamości kulturowej regionu oraz kształtowanie harmonijnego krajobrazu kulturowego poprzez przemyślaną zabudowę wsi i miasteczek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AB480F" w:rsidRDefault="006E368A" w:rsidP="00A607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F67208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A" w:rsidRPr="00F67208" w:rsidRDefault="006E368A" w:rsidP="00A607F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T1A_K01 T1A_K05 T1A_K06</w:t>
            </w:r>
          </w:p>
        </w:tc>
      </w:tr>
    </w:tbl>
    <w:p w:rsidR="006E368A" w:rsidRDefault="006E368A">
      <w:pPr>
        <w:rPr>
          <w:rFonts w:ascii="Arial" w:hAnsi="Arial" w:cs="Arial"/>
          <w:b/>
          <w:bCs/>
        </w:rPr>
      </w:pPr>
    </w:p>
    <w:p w:rsidR="006E368A" w:rsidRDefault="006E36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6E368A" w:rsidRDefault="006E368A">
      <w:pPr>
        <w:rPr>
          <w:rFonts w:ascii="Arial" w:hAnsi="Arial" w:cs="Arial"/>
          <w:sz w:val="22"/>
          <w:szCs w:val="22"/>
        </w:rPr>
      </w:pPr>
    </w:p>
    <w:p w:rsidR="006E368A" w:rsidRDefault="006E368A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6791"/>
        <w:gridCol w:w="1378"/>
      </w:tblGrid>
      <w:tr w:rsidR="006E368A" w:rsidRPr="00D975C6" w:rsidTr="00F710D6">
        <w:trPr>
          <w:trHeight w:val="70"/>
        </w:trPr>
        <w:tc>
          <w:tcPr>
            <w:tcW w:w="1011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6791" w:type="dxa"/>
            <w:vAlign w:val="center"/>
          </w:tcPr>
          <w:p w:rsidR="006E368A" w:rsidRPr="00D975C6" w:rsidRDefault="006E368A">
            <w:pPr>
              <w:pStyle w:val="Heading7"/>
            </w:pPr>
            <w:r w:rsidRPr="00D975C6">
              <w:t>Treści kształcenia</w:t>
            </w:r>
          </w:p>
        </w:tc>
        <w:tc>
          <w:tcPr>
            <w:tcW w:w="1378" w:type="dxa"/>
            <w:vAlign w:val="center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C6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791" w:type="dxa"/>
          </w:tcPr>
          <w:p w:rsidR="006E368A" w:rsidRPr="00D975C6" w:rsidRDefault="006E368A" w:rsidP="00F710D6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Tożsamość i wartość krajobrazu kulturowego wsi i miasta –percepcja, waloryzacja i struktura przestrzeni. 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791" w:type="dxa"/>
          </w:tcPr>
          <w:p w:rsidR="006E368A" w:rsidRPr="00D975C6" w:rsidRDefault="006E368A" w:rsidP="00F710D6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Fenomen miasta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791" w:type="dxa"/>
          </w:tcPr>
          <w:p w:rsidR="006E368A" w:rsidRPr="00D975C6" w:rsidRDefault="006E368A" w:rsidP="00F710D6">
            <w:pPr>
              <w:spacing w:after="44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Funkcje przestrzeni publicznych, placów targowych i rynków miejskich - Pojęcie Centrum.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791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Dom jako mikrokosmos w tradycyjnej kulturze ludowej – wierzenia, symbolika i obrzędy związane z domem; miejsce domu w przestrzeniach zurbanizowanych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791" w:type="dxa"/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Rola architektury sakralnej w kształtowaniu tradycji i krajobrazu kulturowego - kapliczki i krzyże przydrożne, zabytkowe kościoły, dzwonnice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791" w:type="dxa"/>
          </w:tcPr>
          <w:p w:rsidR="006E368A" w:rsidRPr="00D975C6" w:rsidRDefault="006E36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Zamki, dwory szlacheckie, folwarki, karczmy i obiekty przemysłu ludowego w krajobrazie kulturowym i historycznym miasteczek i wsi polskich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6791" w:type="dxa"/>
          </w:tcPr>
          <w:p w:rsidR="006E368A" w:rsidRPr="00D975C6" w:rsidRDefault="006E368A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75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Muzea skansenowskie jako forma ochrony regionalnej architektury drewnianej - warsztaty w Parku Etnograficznym w Tokarni</w:t>
            </w:r>
          </w:p>
          <w:p w:rsidR="006E368A" w:rsidRPr="00D975C6" w:rsidRDefault="006E368A" w:rsidP="00F710D6">
            <w:pPr>
              <w:pStyle w:val="BodyTextFirstIndent2"/>
              <w:ind w:hanging="283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- skanseny w Europie i w Polsce – typy muzeów, historia powstania, najstarsze zabytki zachowane w skansenach</w:t>
            </w:r>
          </w:p>
          <w:p w:rsidR="006E368A" w:rsidRPr="00D975C6" w:rsidRDefault="006E368A" w:rsidP="00F710D6">
            <w:pPr>
              <w:pStyle w:val="BodyTextFirstIndent2"/>
              <w:ind w:hanging="283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-ochrona obiektów przemysłowych w muzeach na wolnym powietrzu</w:t>
            </w:r>
          </w:p>
          <w:p w:rsidR="006E368A" w:rsidRPr="00D975C6" w:rsidRDefault="006E368A" w:rsidP="00F710D6">
            <w:pPr>
              <w:pStyle w:val="BodyTextFirstIndent2"/>
              <w:ind w:hanging="283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- Muzeum Wsi Kieleckiej – historia, translokacja zabytków do skansenu, pokazanie różnic w konstrukcji ścian, dachów, materiałów budowlanych w konkretnych obiektach zabytkowych, kolekcje eksponatów, wystawy stałe i czasowe</w:t>
            </w:r>
          </w:p>
          <w:p w:rsidR="006E368A" w:rsidRPr="00D975C6" w:rsidRDefault="006E368A" w:rsidP="00F710D6">
            <w:pPr>
              <w:pStyle w:val="BodyTextFirstIndent2"/>
              <w:ind w:hanging="283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-historyczny krajobraz kulturowy: zamek w Chęcinach z przedpolem, miasteczko Chęciny, wieś kielecka prezentowana w skansenie</w:t>
            </w:r>
          </w:p>
          <w:p w:rsidR="006E368A" w:rsidRPr="00D975C6" w:rsidRDefault="006E368A">
            <w:pPr>
              <w:pStyle w:val="BodyTextFirs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- edukacyjne aspekty ekspozycji skansenowskich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6E368A" w:rsidRPr="00D975C6">
        <w:tc>
          <w:tcPr>
            <w:tcW w:w="1011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91" w:type="dxa"/>
          </w:tcPr>
          <w:p w:rsidR="006E368A" w:rsidRPr="00D975C6" w:rsidRDefault="006E368A">
            <w:pPr>
              <w:pStyle w:val="BodyTextFirs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Obraz wsi i miast w wyobrażeniach mieszkańców – rola wyobrażeń środowiskowych w planowaniu urbanistycznym. Antropologiczne mapy wyobrażeniowe a planowanie urbanistyczne.</w:t>
            </w:r>
          </w:p>
        </w:tc>
        <w:tc>
          <w:tcPr>
            <w:tcW w:w="1378" w:type="dxa"/>
          </w:tcPr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Pr="00D975C6" w:rsidRDefault="006E368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6E368A" w:rsidRDefault="006E368A">
      <w:pPr>
        <w:rPr>
          <w:rFonts w:ascii="Arial" w:hAnsi="Arial" w:cs="Arial"/>
          <w:sz w:val="22"/>
          <w:szCs w:val="22"/>
        </w:rPr>
      </w:pPr>
    </w:p>
    <w:p w:rsidR="006E368A" w:rsidRDefault="006E368A">
      <w:pPr>
        <w:pStyle w:val="Heading8"/>
      </w:pPr>
      <w:r>
        <w:t xml:space="preserve">Metody sprawdzania efektów kształcenia </w:t>
      </w:r>
    </w:p>
    <w:p w:rsidR="006E368A" w:rsidRDefault="006E368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8499"/>
      </w:tblGrid>
      <w:tr w:rsidR="006E368A" w:rsidRPr="00D975C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Metody sprawdzania efektów kształcenia </w:t>
            </w:r>
          </w:p>
          <w:p w:rsidR="006E368A" w:rsidRPr="00F710D6" w:rsidRDefault="006E368A">
            <w:pPr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0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(sposób sprawdzenia, w tym dla umiejętności – odwołanie do konkretnych zadań projektowych, laboratoryjnych, itp.)</w:t>
            </w:r>
          </w:p>
        </w:tc>
      </w:tr>
      <w:tr w:rsidR="006E368A" w:rsidRPr="00D975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Dyskusja i ocena pracy indywidualnej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Student, aby uzyskać dobra ocenę powinien uczestniczyć w wykładach, wykazać się podstawową wiedzą z zakresu tematyki wykładów – kształtowania się krajobrazu kulturowego i przemian w nim zachodzących oraz przedstawić pracę zaliczeniową na temat związany z antropologią miasta lub wsi. Ocena bardzo dobra za pogłębioną wiedzę w tym zakresie i umiejętność analizy problemu</w:t>
            </w:r>
          </w:p>
        </w:tc>
      </w:tr>
      <w:tr w:rsidR="006E368A" w:rsidRPr="00D975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Dyskusja i ocena pracy indywidualnej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Student, aby uzyskać dobra ocenę wykazać się podstawową umiejętnością oceny elementów tradycyjnego krajobrazu architektonicznego miast i wsi. Aby uzyskać ocenę bardzo dobra powinien umieć dokonać identyfikacji, interpretacji i oceny krajobrazu kulturowego przestrzeni zurbanizowanych.</w:t>
            </w:r>
          </w:p>
        </w:tc>
      </w:tr>
      <w:tr w:rsidR="006E368A" w:rsidRPr="00D975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Obserwacja postawy studenta i aktywności w dyskusji w czasie zajęć, napisanie  pracy zaliczeniowej związanej z tematyką wykładów.</w:t>
            </w:r>
          </w:p>
          <w:p w:rsidR="006E368A" w:rsidRPr="00D975C6" w:rsidRDefault="006E36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Student, aby uzyskać ocenę dobrą musi rozumieć wagę ochrony  harmonijnego krajobrazu kulturowego wsi i miast dla zachowania tożsamości regionalnej i narodowej. Aby otrzymać ocenę bardzo dobrą musi pogłębiać  tę wiedzę w szerszym kontekście kulturowym </w:t>
            </w:r>
          </w:p>
        </w:tc>
      </w:tr>
    </w:tbl>
    <w:p w:rsidR="006E368A" w:rsidRDefault="006E368A">
      <w:pPr>
        <w:rPr>
          <w:rFonts w:ascii="Arial" w:hAnsi="Arial" w:cs="Arial"/>
          <w:i/>
          <w:iCs/>
          <w:sz w:val="22"/>
          <w:szCs w:val="22"/>
        </w:rPr>
      </w:pPr>
    </w:p>
    <w:p w:rsidR="006E368A" w:rsidRDefault="006E36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highlight w:val="lightGray"/>
        </w:rPr>
      </w:pPr>
      <w:r>
        <w:rPr>
          <w:rFonts w:ascii="Arial" w:hAnsi="Arial" w:cs="Arial"/>
          <w:b/>
          <w:bCs/>
          <w:caps/>
          <w:highlight w:val="lightGray"/>
        </w:rPr>
        <w:t>Nakład pracy studenta</w:t>
      </w:r>
    </w:p>
    <w:p w:rsidR="006E368A" w:rsidRDefault="006E368A">
      <w:pPr>
        <w:pStyle w:val="ListParagraph"/>
        <w:ind w:left="0" w:firstLine="0"/>
        <w:rPr>
          <w:rFonts w:ascii="Arial" w:hAnsi="Arial" w:cs="Arial"/>
          <w:b/>
          <w:bCs/>
          <w:cap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7190"/>
        <w:gridCol w:w="1585"/>
      </w:tblGrid>
      <w:tr w:rsidR="006E368A" w:rsidRPr="00D975C6">
        <w:trPr>
          <w:trHeight w:val="283"/>
        </w:trPr>
        <w:tc>
          <w:tcPr>
            <w:tcW w:w="9214" w:type="dxa"/>
            <w:gridSpan w:val="3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Bilans punktów ECTS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Rodzaj aktywności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ćwiczeniach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laboratoriach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konsultacjach (2-3 razy w semestrze)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zajęciach projektowych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Konsultacje projektowe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Udział w egzaminie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godzin realizowanych przy bezpośrednim udziale nauczyciela akademickiego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17</w:t>
            </w:r>
          </w:p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na zajęciach wymagających bezpośredniego udziału nauczyciela akademickiego</w:t>
            </w:r>
          </w:p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studiowanie tematyki wykładów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ćwiczeń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kolokwiów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Samodzielne przygotowanie się do laboratoriów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Wykonanie sprawozdań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Przygotowanie do kolokwium końcowego z laboratorium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Wykonanie projektu lub dokumentacji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godzin samodzielnej pracy studenta</w:t>
            </w:r>
          </w:p>
        </w:tc>
        <w:tc>
          <w:tcPr>
            <w:tcW w:w="1585" w:type="dxa"/>
            <w:vAlign w:val="center"/>
          </w:tcPr>
          <w:p w:rsidR="006E368A" w:rsidRPr="00D975C6" w:rsidRDefault="006E368A" w:rsidP="00F710D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samodzielnej pracy</w:t>
            </w:r>
          </w:p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Sumaryczne obciążenie pracą studenta 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Punkty ECTS za moduł</w:t>
            </w:r>
          </w:p>
          <w:p w:rsidR="006E368A" w:rsidRPr="00D975C6" w:rsidRDefault="006E368A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Nakład pracy związany z zajęciami o charakterze praktycznym</w:t>
            </w:r>
          </w:p>
          <w:p w:rsidR="006E368A" w:rsidRPr="00D975C6" w:rsidRDefault="006E368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Suma godzin związanych z zajęciami praktycznymi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E368A" w:rsidRPr="00D975C6">
        <w:trPr>
          <w:trHeight w:val="283"/>
        </w:trPr>
        <w:tc>
          <w:tcPr>
            <w:tcW w:w="439" w:type="dxa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90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zajęć o charakterze praktycznym</w:t>
            </w:r>
          </w:p>
          <w:p w:rsidR="006E368A" w:rsidRPr="00D975C6" w:rsidRDefault="006E368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5C6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6E368A" w:rsidRPr="00D975C6" w:rsidRDefault="006E368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975C6"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E368A" w:rsidRDefault="006E368A">
      <w:pPr>
        <w:pStyle w:val="ListParagraph"/>
        <w:ind w:left="0"/>
        <w:rPr>
          <w:rFonts w:ascii="Arial" w:hAnsi="Arial" w:cs="Arial"/>
          <w:caps/>
          <w:sz w:val="22"/>
          <w:szCs w:val="22"/>
        </w:rPr>
      </w:pPr>
    </w:p>
    <w:p w:rsidR="006E368A" w:rsidRDefault="006E368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Literatura</w:t>
      </w:r>
    </w:p>
    <w:p w:rsidR="006E368A" w:rsidRDefault="006E368A">
      <w:pPr>
        <w:pStyle w:val="ListParagraph"/>
        <w:ind w:left="284" w:firstLine="0"/>
        <w:rPr>
          <w:rFonts w:ascii="Arial" w:hAnsi="Arial" w:cs="Arial"/>
          <w:caps/>
          <w:sz w:val="22"/>
          <w:szCs w:val="22"/>
        </w:rPr>
      </w:pPr>
    </w:p>
    <w:tbl>
      <w:tblPr>
        <w:tblW w:w="928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7426"/>
      </w:tblGrid>
      <w:tr w:rsidR="006E368A" w:rsidRPr="00AB480F" w:rsidTr="00F710D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AB480F" w:rsidRDefault="006E368A" w:rsidP="00A607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Benevolo L., Miasto w dziejach Europy, Warszawa 1995; Krąg</w:t>
            </w:r>
          </w:p>
          <w:p w:rsidR="006E368A" w:rsidRPr="00C80DEF" w:rsidRDefault="006E368A" w:rsidP="00F710D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Bodzentyn. Studia z dziejów miasta, red. K. Bracha, B. Wojciechowska, Kielce  2005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Bogucka M., Samsonowicz H., Dzieje miast i mieszczaństwa w Polsce przedrozbiorowej, Wrocław-Warszawa-Kraków, 1986, Ossolineum. 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Braudel F. Kultura materialna, gospodarka i kapitalizm XV-XVIII wiek, t.1, rozdz. VIII: “Miasta”. Warszawa1992; PIW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Campanella T., Miasto Słońca, 1954,Wrocław; Ossolineum</w:t>
            </w:r>
          </w:p>
          <w:p w:rsidR="006E368A" w:rsidRPr="00C80DEF" w:rsidRDefault="006E368A" w:rsidP="00F710D6">
            <w:pPr>
              <w:numPr>
                <w:ilvl w:val="0"/>
                <w:numId w:val="4"/>
              </w:numPr>
              <w:tabs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Ciołek, Regionalizm w budownictwie wiejskim w Polsce, Kraków 1984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T. Czerwiński, Budownictwo ludowe w Polsce, Warszawa 2006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Dumała K., Przemiany przestrzenne miast i rozwój osiedli przemysłowych w Królestwie Polskim w latach 1831-1869. Wrocław-Warszawa 1974; Ossolineum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Eliade M., Symbolika środka. Studium religioznawcze, 1976; Znak 10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Elidade M., Sacrum , mit, historia, Warszawa 1970; PIW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Frysztacki K., Miasta metropolitarne i ich przedmieścia. Z problematyki socjologii miasta oraz badań nad rzeczywistością krakowską, Kraków 1997; Universitas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Huizinga J. Jesień średniowiecza. Warszawa 1974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Grzelak J.  Zarycki T.,(red) Społeczna mapa Warszawy. Interdyscyplinarne studium metropolii warszawskiej, Warszawa2004; Wydawnictwo SCHOLAR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Jaczynowska M. , Historia starożytnego Rzymu, Warszawa 1986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Jałowiecki B., M.S. Szczepański, Miasto i przestrzeń w perspektywie socjologicznej, Wykłady z socjologii t. IV, Warszawa 2009; Wyd. Naukowe SCHOLAR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Kumaniecki K. Historia kultury starożytnej Grecji i Rzymu, Warszawa 1969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Leciejewicz L., Nowa postać świata. Narodziny średniowiecznej cywilizacji europejskiej, Wrocław 2007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Lynch Kevin, Obraz miasta,Kraków 2011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Makowski G., Świątynia konsumpcji. Geneza i społeczne znaczenie centrum handlowego. Warszawa 2003; 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Malikowski M., Solecki S. (red.) Socjologia miasta. Wybór tekstów, Rzeszów 1999; Mana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Małachowicz E., Ochrona środowiska kulturowego, t. I. i II. PWN, Warszawa 1988.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polskie w tysiącleciu, praca zbiorowa, t.1, Wrocław -Warszawa-Kraków 1965; t. 2, Wrocław -Warszawa-Kraków 1967.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doby feudalnej w Europie Środkowej i Wschodniej, Warszawa-Poznań-Toruń 1976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Ostrowski W., Wprowadzenie do Historii budowy miast. Ludzie i środowisko, Warszawa 2001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Parnicki-Pudełko S., Agora. Geneza i rozwój rynku greckiego, Wrocław 1957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Pevsner N. Historia architektury europejskiej. Warszawa 1979; Arkady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M. Pokropek, Budownictwo ludowe w Polsce, Warszawa 1976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Sennett R. Ciało i kamień. Człowiek i miasto w cywilizacji zachodu. Gdańsk 1996; Marabut</w:t>
            </w:r>
          </w:p>
          <w:p w:rsidR="006E368A" w:rsidRPr="00C80DEF" w:rsidRDefault="006E368A" w:rsidP="00F710D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Społeczności małomiasteczkowe w regionie świętokrzyskim (XIX-XX w.), red. R. Kołodziejczyk, M. B. Markowski, Kieleckie Towarzystwo Naukowe, Kielce 1999.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Sztafrowski M., Architektura w krajobrazie, Politechnika Gdańska, Gdańsk 1984.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Wallis A., Informacja i gwar. O miejskim centrum. Warszawa 1979; PIW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Weber M., Gospodarka i społeczeństwo. Warszawa 2002; Wyd. Naukowe PWN</w:t>
            </w:r>
          </w:p>
          <w:p w:rsidR="006E368A" w:rsidRPr="00C80DEF" w:rsidRDefault="006E368A" w:rsidP="00F710D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S. Wiech, Miasteczka guberni kieleckiej w latach 1870-1914. Zabudowa-rozwój- społeczeństwo, Kieleckie Towarzystwo Naukowe, Kielce 1995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Wróbel T., Zarys historii budowy miast, Wrocław-Warszawa…1971</w:t>
            </w:r>
          </w:p>
          <w:p w:rsidR="006E368A" w:rsidRPr="00C80DEF" w:rsidRDefault="006E368A" w:rsidP="00F710D6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Yi-Fu Tuan, Przestrzeń i miejsce. Warszawa 1987; PIW</w:t>
            </w:r>
          </w:p>
          <w:p w:rsidR="006E368A" w:rsidRPr="00AB480F" w:rsidRDefault="006E368A" w:rsidP="00A60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68A" w:rsidRPr="00AB480F" w:rsidTr="00F710D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AB480F" w:rsidRDefault="006E368A" w:rsidP="00A607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8A" w:rsidRPr="00AB480F" w:rsidRDefault="006E368A" w:rsidP="00A607F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368A" w:rsidRDefault="006E368A">
      <w:pPr>
        <w:rPr>
          <w:rFonts w:ascii="Arial" w:hAnsi="Arial" w:cs="Arial"/>
          <w:sz w:val="22"/>
          <w:szCs w:val="22"/>
        </w:rPr>
      </w:pPr>
    </w:p>
    <w:sectPr w:rsidR="006E368A" w:rsidSect="0083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multilevel"/>
    <w:tmpl w:val="8A58C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E1EF1"/>
    <w:multiLevelType w:val="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A47EC1"/>
    <w:multiLevelType w:val="multilevel"/>
    <w:tmpl w:val="1B90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7940F6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22"/>
    <w:rsid w:val="000D00B0"/>
    <w:rsid w:val="00350D9E"/>
    <w:rsid w:val="006E368A"/>
    <w:rsid w:val="00747F0B"/>
    <w:rsid w:val="00836E22"/>
    <w:rsid w:val="00866ADD"/>
    <w:rsid w:val="00A607F3"/>
    <w:rsid w:val="00A970D1"/>
    <w:rsid w:val="00AB480F"/>
    <w:rsid w:val="00C80DEF"/>
    <w:rsid w:val="00D975C6"/>
    <w:rsid w:val="00E55F01"/>
    <w:rsid w:val="00F67208"/>
    <w:rsid w:val="00F7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70D1"/>
    <w:pPr>
      <w:autoSpaceDE w:val="0"/>
      <w:autoSpaceDN w:val="0"/>
      <w:ind w:left="357" w:hanging="357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0D1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0D1"/>
    <w:pPr>
      <w:keepNext/>
      <w:keepLines/>
      <w:spacing w:before="20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0D1"/>
    <w:pPr>
      <w:keepNext/>
      <w:ind w:left="0" w:firstLine="0"/>
      <w:jc w:val="both"/>
      <w:outlineLvl w:val="2"/>
    </w:pPr>
    <w:rPr>
      <w:b/>
      <w:bCs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0D1"/>
    <w:pPr>
      <w:keepNext/>
      <w:ind w:left="0" w:firstLine="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0D1"/>
    <w:pPr>
      <w:keepNext/>
      <w:ind w:left="0" w:firstLine="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70D1"/>
    <w:pPr>
      <w:keepNext/>
      <w:ind w:left="0" w:firstLine="0"/>
      <w:outlineLvl w:val="5"/>
    </w:pPr>
    <w:rPr>
      <w:rFonts w:ascii="Arial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70D1"/>
    <w:pPr>
      <w:keepNext/>
      <w:ind w:left="0" w:firstLine="0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70D1"/>
    <w:pPr>
      <w:keepNext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6E2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970D1"/>
    <w:rPr>
      <w:rFonts w:ascii="Cambria" w:hAnsi="Cambria" w:cs="Cambria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970D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36E22"/>
    <w:rPr>
      <w:rFonts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36E2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36E22"/>
    <w:rPr>
      <w:rFonts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36E22"/>
    <w:rPr>
      <w:rFonts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36E22"/>
    <w:rPr>
      <w:rFonts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970D1"/>
    <w:pPr>
      <w:ind w:left="720"/>
    </w:pPr>
  </w:style>
  <w:style w:type="paragraph" w:styleId="BodyText">
    <w:name w:val="Body Text"/>
    <w:aliases w:val="Body Text Char"/>
    <w:basedOn w:val="Normal"/>
    <w:link w:val="BodyTextChar2"/>
    <w:uiPriority w:val="99"/>
    <w:rsid w:val="00A970D1"/>
    <w:pPr>
      <w:ind w:left="0" w:firstLine="0"/>
    </w:pPr>
    <w:rPr>
      <w:color w:val="auto"/>
      <w:sz w:val="28"/>
      <w:szCs w:val="28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semiHidden/>
    <w:rsid w:val="00D44568"/>
    <w:rPr>
      <w:rFonts w:ascii="Times New Roman" w:hAnsi="Times New Roman"/>
      <w:color w:val="000000"/>
      <w:sz w:val="24"/>
      <w:szCs w:val="24"/>
    </w:rPr>
  </w:style>
  <w:style w:type="character" w:customStyle="1" w:styleId="BodyTextChar2">
    <w:name w:val="Body Text Char2"/>
    <w:aliases w:val="Body Text Char Char1"/>
    <w:basedOn w:val="DefaultParagraphFont"/>
    <w:link w:val="BodyText"/>
    <w:uiPriority w:val="99"/>
    <w:rsid w:val="00A970D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970D1"/>
    <w:pPr>
      <w:spacing w:after="120" w:line="480" w:lineRule="auto"/>
      <w:ind w:left="283" w:firstLine="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70D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970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70D1"/>
    <w:rPr>
      <w:rFonts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970D1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E22"/>
    <w:rPr>
      <w:rFonts w:ascii="Times New Roman" w:hAnsi="Times New Roman" w:cs="Times New Roman"/>
      <w:color w:val="00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970D1"/>
    <w:pPr>
      <w:ind w:firstLine="210"/>
    </w:pPr>
    <w:rPr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970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970D1"/>
    <w:pPr>
      <w:tabs>
        <w:tab w:val="center" w:pos="4536"/>
        <w:tab w:val="right" w:pos="9072"/>
      </w:tabs>
      <w:ind w:left="0" w:firstLine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970D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970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7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0D1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97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70D1"/>
    <w:rPr>
      <w:rFonts w:cs="Times New Roman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70D1"/>
    <w:pPr>
      <w:ind w:left="0" w:firstLine="0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0D1"/>
    <w:rPr>
      <w:rFonts w:ascii="Times New Roman" w:hAnsi="Times New Roman" w:cs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A9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5</Pages>
  <Words>1601</Words>
  <Characters>9610</Characters>
  <Application>Microsoft Office Outlook</Application>
  <DocSecurity>0</DocSecurity>
  <Lines>0</Lines>
  <Paragraphs>0</Paragraphs>
  <ScaleCrop>false</ScaleCrop>
  <Company>PŚk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adminelżbieta radziszewsl</dc:creator>
  <cp:keywords/>
  <dc:description/>
  <cp:lastModifiedBy>Paula</cp:lastModifiedBy>
  <cp:revision>10</cp:revision>
  <dcterms:created xsi:type="dcterms:W3CDTF">2012-04-23T11:51:00Z</dcterms:created>
  <dcterms:modified xsi:type="dcterms:W3CDTF">2012-11-14T22:02:00Z</dcterms:modified>
</cp:coreProperties>
</file>